
<file path=[Content_Types].xml><?xml version="1.0" encoding="utf-8"?>
<Types xmlns="http://schemas.openxmlformats.org/package/2006/content-types">
  <Default Extension="xml" ContentType="application/xml"/>
  <Default Extension="xlsx" ContentType="application/vnd.openxmlformats-officedocument.spreadsheetml.sheet"/>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sz w:val="44"/>
          <w:szCs w:val="44"/>
        </w:rPr>
      </w:pPr>
    </w:p>
    <w:p>
      <w:pPr>
        <w:jc w:val="center"/>
        <w:rPr>
          <w:rFonts w:ascii="宋体" w:hAnsi="宋体"/>
          <w:b/>
          <w:sz w:val="44"/>
          <w:szCs w:val="44"/>
        </w:rPr>
      </w:pPr>
      <w:r>
        <w:rPr>
          <w:rFonts w:ascii="宋体" w:hAnsi="宋体"/>
          <w:b/>
          <w:sz w:val="44"/>
          <w:szCs w:val="44"/>
        </w:rPr>
        <w:drawing>
          <wp:inline distT="0" distB="0" distL="114300" distR="114300">
            <wp:extent cx="1770380" cy="1285240"/>
            <wp:effectExtent l="0" t="0" r="0" b="0"/>
            <wp:docPr id="1" name="图片 1" descr="LOGO无白色背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无白色背景"/>
                    <pic:cNvPicPr>
                      <a:picLocks noChangeAspect="1"/>
                    </pic:cNvPicPr>
                  </pic:nvPicPr>
                  <pic:blipFill>
                    <a:blip r:embed="rId11"/>
                    <a:stretch>
                      <a:fillRect/>
                    </a:stretch>
                  </pic:blipFill>
                  <pic:spPr>
                    <a:xfrm>
                      <a:off x="0" y="0"/>
                      <a:ext cx="1770380" cy="1285240"/>
                    </a:xfrm>
                    <a:prstGeom prst="rect">
                      <a:avLst/>
                    </a:prstGeom>
                    <a:noFill/>
                    <a:ln w="9525">
                      <a:noFill/>
                    </a:ln>
                  </pic:spPr>
                </pic:pic>
              </a:graphicData>
            </a:graphic>
          </wp:inline>
        </w:drawing>
      </w:r>
    </w:p>
    <w:p>
      <w:pPr>
        <w:jc w:val="center"/>
        <w:rPr>
          <w:rFonts w:ascii="楷体" w:hAnsi="楷体" w:eastAsia="楷体"/>
          <w:b/>
          <w:sz w:val="52"/>
          <w:szCs w:val="52"/>
        </w:rPr>
      </w:pPr>
      <w:r>
        <w:rPr>
          <w:rFonts w:hint="eastAsia" w:ascii="楷体" w:hAnsi="楷体" w:eastAsia="楷体"/>
          <w:b/>
          <w:sz w:val="52"/>
          <w:szCs w:val="52"/>
        </w:rPr>
        <w:t>海南外国语职业学院</w:t>
      </w:r>
    </w:p>
    <w:p>
      <w:pPr>
        <w:jc w:val="center"/>
        <w:rPr>
          <w:rFonts w:ascii="微软雅黑" w:hAnsi="微软雅黑" w:eastAsia="微软雅黑"/>
          <w:b/>
          <w:sz w:val="44"/>
          <w:szCs w:val="44"/>
        </w:rPr>
      </w:pPr>
    </w:p>
    <w:p>
      <w:pPr>
        <w:jc w:val="center"/>
        <w:rPr>
          <w:rFonts w:ascii="微软雅黑" w:hAnsi="微软雅黑" w:eastAsia="微软雅黑"/>
          <w:b/>
          <w:sz w:val="44"/>
          <w:szCs w:val="44"/>
        </w:rPr>
      </w:pPr>
    </w:p>
    <w:p>
      <w:pPr>
        <w:rPr>
          <w:rFonts w:ascii="微软雅黑" w:hAnsi="微软雅黑" w:eastAsia="微软雅黑"/>
          <w:b/>
          <w:sz w:val="44"/>
          <w:szCs w:val="44"/>
        </w:rPr>
      </w:pPr>
    </w:p>
    <w:p>
      <w:pPr>
        <w:jc w:val="center"/>
        <w:rPr>
          <w:rFonts w:ascii="微软雅黑" w:hAnsi="微软雅黑" w:eastAsia="微软雅黑"/>
          <w:b/>
          <w:sz w:val="52"/>
          <w:szCs w:val="52"/>
        </w:rPr>
      </w:pPr>
      <w:r>
        <w:rPr>
          <w:rFonts w:hint="eastAsia" w:ascii="微软雅黑" w:hAnsi="微软雅黑" w:eastAsia="微软雅黑"/>
          <w:b/>
          <w:sz w:val="52"/>
          <w:szCs w:val="52"/>
        </w:rPr>
        <w:t>201</w:t>
      </w:r>
      <w:r>
        <w:rPr>
          <w:rFonts w:hint="eastAsia" w:ascii="微软雅黑" w:hAnsi="微软雅黑" w:eastAsia="微软雅黑"/>
          <w:b/>
          <w:sz w:val="52"/>
          <w:szCs w:val="52"/>
          <w:lang w:val="en-US" w:eastAsia="zh-CN"/>
        </w:rPr>
        <w:t>9</w:t>
      </w:r>
      <w:r>
        <w:rPr>
          <w:rFonts w:hint="eastAsia" w:ascii="微软雅黑" w:hAnsi="微软雅黑" w:eastAsia="微软雅黑"/>
          <w:b/>
          <w:sz w:val="52"/>
          <w:szCs w:val="52"/>
        </w:rPr>
        <w:t>届毕业生就业质量年度报告</w:t>
      </w:r>
    </w:p>
    <w:p>
      <w:pPr>
        <w:jc w:val="center"/>
        <w:rPr>
          <w:rFonts w:ascii="宋体" w:hAnsi="宋体"/>
          <w:b/>
          <w:sz w:val="44"/>
          <w:szCs w:val="44"/>
        </w:rPr>
      </w:pPr>
    </w:p>
    <w:p>
      <w:pPr>
        <w:jc w:val="center"/>
        <w:rPr>
          <w:rFonts w:ascii="宋体" w:hAnsi="宋体"/>
          <w:b/>
          <w:sz w:val="44"/>
          <w:szCs w:val="44"/>
        </w:rPr>
      </w:pPr>
    </w:p>
    <w:p>
      <w:pPr>
        <w:jc w:val="center"/>
        <w:rPr>
          <w:rFonts w:ascii="宋体" w:hAnsi="宋体"/>
          <w:b/>
          <w:sz w:val="44"/>
          <w:szCs w:val="44"/>
        </w:rPr>
      </w:pPr>
    </w:p>
    <w:p>
      <w:pPr>
        <w:jc w:val="center"/>
        <w:rPr>
          <w:rFonts w:ascii="宋体" w:hAnsi="宋体"/>
          <w:b/>
          <w:sz w:val="44"/>
          <w:szCs w:val="44"/>
        </w:rPr>
      </w:pPr>
    </w:p>
    <w:p>
      <w:pPr>
        <w:jc w:val="center"/>
        <w:rPr>
          <w:rFonts w:ascii="宋体" w:hAnsi="宋体"/>
          <w:b/>
          <w:sz w:val="44"/>
          <w:szCs w:val="44"/>
        </w:rPr>
      </w:pPr>
    </w:p>
    <w:p>
      <w:pPr>
        <w:jc w:val="center"/>
        <w:rPr>
          <w:rFonts w:ascii="宋体" w:hAnsi="宋体"/>
          <w:b/>
          <w:sz w:val="44"/>
          <w:szCs w:val="44"/>
        </w:rPr>
      </w:pPr>
    </w:p>
    <w:p>
      <w:pPr>
        <w:jc w:val="center"/>
        <w:rPr>
          <w:rFonts w:ascii="宋体" w:hAnsi="宋体"/>
          <w:b/>
          <w:sz w:val="44"/>
          <w:szCs w:val="44"/>
        </w:rPr>
      </w:pPr>
    </w:p>
    <w:p>
      <w:pPr>
        <w:rPr>
          <w:rFonts w:ascii="宋体" w:hAnsi="宋体"/>
          <w:b/>
          <w:sz w:val="44"/>
          <w:szCs w:val="44"/>
        </w:rPr>
      </w:pPr>
    </w:p>
    <w:p>
      <w:pPr>
        <w:jc w:val="center"/>
        <w:rPr>
          <w:rFonts w:ascii="宋体" w:hAnsi="宋体"/>
          <w:b/>
          <w:sz w:val="44"/>
          <w:szCs w:val="44"/>
        </w:rPr>
      </w:pPr>
      <w:r>
        <w:rPr>
          <w:rFonts w:hint="eastAsia" w:ascii="宋体" w:hAnsi="宋体"/>
          <w:b/>
          <w:sz w:val="44"/>
          <w:szCs w:val="44"/>
        </w:rPr>
        <w:t>201</w:t>
      </w:r>
      <w:r>
        <w:rPr>
          <w:rFonts w:hint="eastAsia" w:ascii="宋体" w:hAnsi="宋体"/>
          <w:b/>
          <w:sz w:val="44"/>
          <w:szCs w:val="44"/>
          <w:lang w:val="en-US" w:eastAsia="zh-CN"/>
        </w:rPr>
        <w:t>9</w:t>
      </w:r>
      <w:r>
        <w:rPr>
          <w:rFonts w:hint="eastAsia" w:ascii="宋体" w:hAnsi="宋体"/>
          <w:b/>
          <w:sz w:val="44"/>
          <w:szCs w:val="44"/>
        </w:rPr>
        <w:t>年12月</w:t>
      </w:r>
    </w:p>
    <w:p>
      <w:pPr>
        <w:spacing w:before="120" w:beforeLines="50" w:after="120" w:afterLines="50"/>
        <w:jc w:val="center"/>
        <w:rPr>
          <w:rFonts w:ascii="宋体" w:hAnsi="宋体" w:cs="宋体"/>
          <w:b/>
          <w:bCs/>
          <w:sz w:val="44"/>
          <w:szCs w:val="44"/>
        </w:rPr>
      </w:pPr>
    </w:p>
    <w:p>
      <w:pPr>
        <w:pStyle w:val="13"/>
        <w:keepNext w:val="0"/>
        <w:keepLines w:val="0"/>
        <w:pageBreakBefore w:val="0"/>
        <w:widowControl w:val="0"/>
        <w:tabs>
          <w:tab w:val="right" w:leader="dot" w:pos="8674"/>
        </w:tabs>
        <w:kinsoku/>
        <w:wordWrap/>
        <w:overflowPunct/>
        <w:topLinePunct w:val="0"/>
        <w:autoSpaceDE/>
        <w:autoSpaceDN/>
        <w:bidi w:val="0"/>
        <w:adjustRightInd/>
        <w:snapToGrid/>
        <w:spacing w:line="360" w:lineRule="auto"/>
        <w:ind w:left="0" w:leftChars="0" w:firstLine="0" w:firstLineChars="0"/>
        <w:textAlignment w:val="auto"/>
        <w:rPr>
          <w:sz w:val="44"/>
          <w:szCs w:val="44"/>
        </w:rPr>
      </w:pPr>
    </w:p>
    <w:sdt>
      <w:sdtPr>
        <w:rPr>
          <w:rFonts w:ascii="宋体" w:hAnsi="宋体" w:eastAsia="宋体" w:cs="Times New Roman"/>
          <w:kern w:val="2"/>
          <w:sz w:val="32"/>
          <w:szCs w:val="40"/>
          <w:lang w:val="en-US" w:eastAsia="zh-CN" w:bidi="ar-SA"/>
        </w:rPr>
        <w:id w:val="147476269"/>
        <w15:color w:val="DBDBDB"/>
        <w:docPartObj>
          <w:docPartGallery w:val="Table of Contents"/>
          <w:docPartUnique/>
        </w:docPartObj>
      </w:sdtPr>
      <w:sdtEndPr>
        <w:rPr>
          <w:rFonts w:hint="eastAsia" w:asciiTheme="minorEastAsia" w:hAnsiTheme="minorEastAsia" w:eastAsiaTheme="minorEastAsia" w:cstheme="minorEastAsia"/>
          <w:kern w:val="2"/>
          <w:sz w:val="28"/>
          <w:szCs w:val="28"/>
          <w:lang w:val="en-US" w:eastAsia="zh-CN" w:bidi="ar-SA"/>
        </w:rPr>
      </w:sdtEndPr>
      <w:sdtContent>
        <w:p>
          <w:pPr>
            <w:spacing w:before="0" w:beforeLines="0" w:after="0" w:afterLines="0" w:line="240" w:lineRule="auto"/>
            <w:ind w:left="0" w:leftChars="0" w:right="0" w:rightChars="0" w:firstLine="0" w:firstLineChars="0"/>
            <w:jc w:val="center"/>
            <w:rPr>
              <w:rFonts w:ascii="宋体" w:hAnsi="宋体" w:eastAsia="宋体"/>
              <w:b/>
              <w:bCs/>
              <w:sz w:val="52"/>
              <w:szCs w:val="52"/>
            </w:rPr>
          </w:pPr>
          <w:r>
            <w:rPr>
              <w:rFonts w:ascii="宋体" w:hAnsi="宋体" w:eastAsia="宋体"/>
              <w:b/>
              <w:bCs/>
              <w:sz w:val="52"/>
              <w:szCs w:val="52"/>
            </w:rPr>
            <w:t>目录</w:t>
          </w:r>
        </w:p>
        <w:p>
          <w:pPr>
            <w:pStyle w:val="12"/>
            <w:tabs>
              <w:tab w:val="right" w:leader="dot" w:pos="8674"/>
            </w:tabs>
            <w:rPr>
              <w:rFonts w:hint="eastAsia" w:ascii="宋体" w:hAnsi="宋体" w:eastAsia="宋体" w:cs="宋体"/>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TOC \o "1-3" \h \u </w:instrText>
          </w:r>
          <w:r>
            <w:rPr>
              <w:rFonts w:hint="eastAsia" w:asciiTheme="minorEastAsia" w:hAnsiTheme="minorEastAsia" w:eastAsiaTheme="minorEastAsia" w:cstheme="minorEastAsia"/>
              <w:sz w:val="28"/>
              <w:szCs w:val="28"/>
            </w:rPr>
            <w:fldChar w:fldCharType="separate"/>
          </w:r>
          <w:r>
            <w:rPr>
              <w:rFonts w:hint="eastAsia" w:ascii="宋体" w:hAnsi="宋体" w:eastAsia="宋体" w:cs="宋体"/>
              <w:szCs w:val="28"/>
            </w:rPr>
            <w:fldChar w:fldCharType="begin"/>
          </w:r>
          <w:r>
            <w:rPr>
              <w:rFonts w:hint="eastAsia" w:ascii="宋体" w:hAnsi="宋体" w:eastAsia="宋体" w:cs="宋体"/>
              <w:szCs w:val="28"/>
            </w:rPr>
            <w:instrText xml:space="preserve"> HYPERLINK \l _Toc3013 </w:instrText>
          </w:r>
          <w:r>
            <w:rPr>
              <w:rFonts w:hint="eastAsia" w:ascii="宋体" w:hAnsi="宋体" w:eastAsia="宋体" w:cs="宋体"/>
              <w:szCs w:val="28"/>
            </w:rPr>
            <w:fldChar w:fldCharType="separate"/>
          </w:r>
          <w:r>
            <w:rPr>
              <w:rFonts w:hint="eastAsia" w:ascii="宋体" w:hAnsi="宋体" w:eastAsia="宋体" w:cs="宋体"/>
            </w:rPr>
            <w:t>第一章 就业基本情况</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_Toc3013 </w:instrText>
          </w:r>
          <w:r>
            <w:rPr>
              <w:rFonts w:hint="eastAsia" w:ascii="宋体" w:hAnsi="宋体" w:eastAsia="宋体" w:cs="宋体"/>
            </w:rPr>
            <w:fldChar w:fldCharType="separate"/>
          </w:r>
          <w:r>
            <w:rPr>
              <w:rFonts w:hint="eastAsia" w:ascii="宋体" w:hAnsi="宋体" w:eastAsia="宋体" w:cs="宋体"/>
            </w:rPr>
            <w:t>1</w:t>
          </w:r>
          <w:r>
            <w:rPr>
              <w:rFonts w:hint="eastAsia" w:ascii="宋体" w:hAnsi="宋体" w:eastAsia="宋体" w:cs="宋体"/>
            </w:rPr>
            <w:fldChar w:fldCharType="end"/>
          </w:r>
          <w:r>
            <w:rPr>
              <w:rFonts w:hint="eastAsia" w:ascii="宋体" w:hAnsi="宋体" w:eastAsia="宋体" w:cs="宋体"/>
              <w:szCs w:val="28"/>
            </w:rPr>
            <w:fldChar w:fldCharType="end"/>
          </w:r>
        </w:p>
        <w:p>
          <w:pPr>
            <w:pStyle w:val="13"/>
            <w:tabs>
              <w:tab w:val="right" w:leader="dot" w:pos="8674"/>
            </w:tabs>
            <w:rPr>
              <w:rFonts w:hint="eastAsia" w:ascii="宋体" w:hAnsi="宋体" w:eastAsia="宋体" w:cs="宋体"/>
            </w:rPr>
          </w:pPr>
          <w:r>
            <w:rPr>
              <w:rFonts w:hint="eastAsia" w:ascii="宋体" w:hAnsi="宋体" w:eastAsia="宋体" w:cs="宋体"/>
              <w:szCs w:val="28"/>
            </w:rPr>
            <w:fldChar w:fldCharType="begin"/>
          </w:r>
          <w:r>
            <w:rPr>
              <w:rFonts w:hint="eastAsia" w:ascii="宋体" w:hAnsi="宋体" w:eastAsia="宋体" w:cs="宋体"/>
              <w:szCs w:val="28"/>
            </w:rPr>
            <w:instrText xml:space="preserve"> HYPERLINK \l _Toc4805 </w:instrText>
          </w:r>
          <w:r>
            <w:rPr>
              <w:rFonts w:hint="eastAsia" w:ascii="宋体" w:hAnsi="宋体" w:eastAsia="宋体" w:cs="宋体"/>
              <w:szCs w:val="28"/>
            </w:rPr>
            <w:fldChar w:fldCharType="separate"/>
          </w:r>
          <w:r>
            <w:rPr>
              <w:rFonts w:hint="eastAsia" w:ascii="宋体" w:hAnsi="宋体" w:eastAsia="宋体" w:cs="宋体"/>
            </w:rPr>
            <w:t>一、 毕业生规模和结构</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_Toc4805 </w:instrText>
          </w:r>
          <w:r>
            <w:rPr>
              <w:rFonts w:hint="eastAsia" w:ascii="宋体" w:hAnsi="宋体" w:eastAsia="宋体" w:cs="宋体"/>
            </w:rPr>
            <w:fldChar w:fldCharType="separate"/>
          </w:r>
          <w:r>
            <w:rPr>
              <w:rFonts w:hint="eastAsia" w:ascii="宋体" w:hAnsi="宋体" w:eastAsia="宋体" w:cs="宋体"/>
            </w:rPr>
            <w:t>1</w:t>
          </w:r>
          <w:r>
            <w:rPr>
              <w:rFonts w:hint="eastAsia" w:ascii="宋体" w:hAnsi="宋体" w:eastAsia="宋体" w:cs="宋体"/>
            </w:rPr>
            <w:fldChar w:fldCharType="end"/>
          </w:r>
          <w:r>
            <w:rPr>
              <w:rFonts w:hint="eastAsia" w:ascii="宋体" w:hAnsi="宋体" w:eastAsia="宋体" w:cs="宋体"/>
              <w:szCs w:val="28"/>
            </w:rPr>
            <w:fldChar w:fldCharType="end"/>
          </w:r>
        </w:p>
        <w:p>
          <w:pPr>
            <w:pStyle w:val="9"/>
            <w:tabs>
              <w:tab w:val="right" w:leader="dot" w:pos="8674"/>
            </w:tabs>
            <w:rPr>
              <w:rFonts w:hint="eastAsia" w:ascii="宋体" w:hAnsi="宋体" w:eastAsia="宋体" w:cs="宋体"/>
            </w:rPr>
          </w:pPr>
          <w:r>
            <w:rPr>
              <w:rFonts w:hint="eastAsia" w:ascii="宋体" w:hAnsi="宋体" w:eastAsia="宋体" w:cs="宋体"/>
              <w:szCs w:val="28"/>
            </w:rPr>
            <w:fldChar w:fldCharType="begin"/>
          </w:r>
          <w:r>
            <w:rPr>
              <w:rFonts w:hint="eastAsia" w:ascii="宋体" w:hAnsi="宋体" w:eastAsia="宋体" w:cs="宋体"/>
              <w:szCs w:val="28"/>
            </w:rPr>
            <w:instrText xml:space="preserve"> HYPERLINK \l _Toc9808 </w:instrText>
          </w:r>
          <w:r>
            <w:rPr>
              <w:rFonts w:hint="eastAsia" w:ascii="宋体" w:hAnsi="宋体" w:eastAsia="宋体" w:cs="宋体"/>
              <w:szCs w:val="28"/>
            </w:rPr>
            <w:fldChar w:fldCharType="separate"/>
          </w:r>
          <w:r>
            <w:rPr>
              <w:rFonts w:hint="eastAsia" w:ascii="宋体" w:hAnsi="宋体" w:eastAsia="宋体" w:cs="宋体"/>
            </w:rPr>
            <w:t>（一） 总毕业生人数</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_Toc9808 </w:instrText>
          </w:r>
          <w:r>
            <w:rPr>
              <w:rFonts w:hint="eastAsia" w:ascii="宋体" w:hAnsi="宋体" w:eastAsia="宋体" w:cs="宋体"/>
            </w:rPr>
            <w:fldChar w:fldCharType="separate"/>
          </w:r>
          <w:r>
            <w:rPr>
              <w:rFonts w:hint="eastAsia" w:ascii="宋体" w:hAnsi="宋体" w:eastAsia="宋体" w:cs="宋体"/>
            </w:rPr>
            <w:t>1</w:t>
          </w:r>
          <w:r>
            <w:rPr>
              <w:rFonts w:hint="eastAsia" w:ascii="宋体" w:hAnsi="宋体" w:eastAsia="宋体" w:cs="宋体"/>
            </w:rPr>
            <w:fldChar w:fldCharType="end"/>
          </w:r>
          <w:r>
            <w:rPr>
              <w:rFonts w:hint="eastAsia" w:ascii="宋体" w:hAnsi="宋体" w:eastAsia="宋体" w:cs="宋体"/>
              <w:szCs w:val="28"/>
            </w:rPr>
            <w:fldChar w:fldCharType="end"/>
          </w:r>
        </w:p>
        <w:p>
          <w:pPr>
            <w:pStyle w:val="9"/>
            <w:tabs>
              <w:tab w:val="right" w:leader="dot" w:pos="8674"/>
            </w:tabs>
            <w:rPr>
              <w:rFonts w:hint="eastAsia" w:ascii="宋体" w:hAnsi="宋体" w:eastAsia="宋体" w:cs="宋体"/>
            </w:rPr>
          </w:pPr>
          <w:r>
            <w:rPr>
              <w:rFonts w:hint="eastAsia" w:ascii="宋体" w:hAnsi="宋体" w:eastAsia="宋体" w:cs="宋体"/>
              <w:szCs w:val="28"/>
            </w:rPr>
            <w:fldChar w:fldCharType="begin"/>
          </w:r>
          <w:r>
            <w:rPr>
              <w:rFonts w:hint="eastAsia" w:ascii="宋体" w:hAnsi="宋体" w:eastAsia="宋体" w:cs="宋体"/>
              <w:szCs w:val="28"/>
            </w:rPr>
            <w:instrText xml:space="preserve"> HYPERLINK \l _Toc5371 </w:instrText>
          </w:r>
          <w:r>
            <w:rPr>
              <w:rFonts w:hint="eastAsia" w:ascii="宋体" w:hAnsi="宋体" w:eastAsia="宋体" w:cs="宋体"/>
              <w:szCs w:val="28"/>
            </w:rPr>
            <w:fldChar w:fldCharType="separate"/>
          </w:r>
          <w:r>
            <w:rPr>
              <w:rFonts w:hint="eastAsia" w:ascii="宋体" w:hAnsi="宋体" w:eastAsia="宋体" w:cs="宋体"/>
              <w:lang w:eastAsia="zh-CN"/>
            </w:rPr>
            <w:t>（二） 各院系及专业的毕业生人数</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_Toc5371 </w:instrText>
          </w:r>
          <w:r>
            <w:rPr>
              <w:rFonts w:hint="eastAsia" w:ascii="宋体" w:hAnsi="宋体" w:eastAsia="宋体" w:cs="宋体"/>
            </w:rPr>
            <w:fldChar w:fldCharType="separate"/>
          </w:r>
          <w:r>
            <w:rPr>
              <w:rFonts w:hint="eastAsia" w:ascii="宋体" w:hAnsi="宋体" w:eastAsia="宋体" w:cs="宋体"/>
            </w:rPr>
            <w:t>1</w:t>
          </w:r>
          <w:r>
            <w:rPr>
              <w:rFonts w:hint="eastAsia" w:ascii="宋体" w:hAnsi="宋体" w:eastAsia="宋体" w:cs="宋体"/>
            </w:rPr>
            <w:fldChar w:fldCharType="end"/>
          </w:r>
          <w:r>
            <w:rPr>
              <w:rFonts w:hint="eastAsia" w:ascii="宋体" w:hAnsi="宋体" w:eastAsia="宋体" w:cs="宋体"/>
              <w:szCs w:val="28"/>
            </w:rPr>
            <w:fldChar w:fldCharType="end"/>
          </w:r>
        </w:p>
        <w:p>
          <w:pPr>
            <w:pStyle w:val="9"/>
            <w:tabs>
              <w:tab w:val="right" w:leader="dot" w:pos="8674"/>
            </w:tabs>
            <w:rPr>
              <w:rFonts w:hint="eastAsia" w:ascii="宋体" w:hAnsi="宋体" w:eastAsia="宋体" w:cs="宋体"/>
            </w:rPr>
          </w:pPr>
          <w:r>
            <w:rPr>
              <w:rFonts w:hint="eastAsia" w:ascii="宋体" w:hAnsi="宋体" w:eastAsia="宋体" w:cs="宋体"/>
              <w:szCs w:val="28"/>
            </w:rPr>
            <w:fldChar w:fldCharType="begin"/>
          </w:r>
          <w:r>
            <w:rPr>
              <w:rFonts w:hint="eastAsia" w:ascii="宋体" w:hAnsi="宋体" w:eastAsia="宋体" w:cs="宋体"/>
              <w:szCs w:val="28"/>
            </w:rPr>
            <w:instrText xml:space="preserve"> HYPERLINK \l _Toc9285 </w:instrText>
          </w:r>
          <w:r>
            <w:rPr>
              <w:rFonts w:hint="eastAsia" w:ascii="宋体" w:hAnsi="宋体" w:eastAsia="宋体" w:cs="宋体"/>
              <w:szCs w:val="28"/>
            </w:rPr>
            <w:fldChar w:fldCharType="separate"/>
          </w:r>
          <w:r>
            <w:rPr>
              <w:rFonts w:hint="eastAsia" w:ascii="宋体" w:hAnsi="宋体" w:eastAsia="宋体" w:cs="宋体"/>
            </w:rPr>
            <w:t>（三） 毕业生的生源结构</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_Toc9285 </w:instrText>
          </w:r>
          <w:r>
            <w:rPr>
              <w:rFonts w:hint="eastAsia" w:ascii="宋体" w:hAnsi="宋体" w:eastAsia="宋体" w:cs="宋体"/>
            </w:rPr>
            <w:fldChar w:fldCharType="separate"/>
          </w:r>
          <w:r>
            <w:rPr>
              <w:rFonts w:hint="eastAsia" w:ascii="宋体" w:hAnsi="宋体" w:eastAsia="宋体" w:cs="宋体"/>
            </w:rPr>
            <w:t>2</w:t>
          </w:r>
          <w:r>
            <w:rPr>
              <w:rFonts w:hint="eastAsia" w:ascii="宋体" w:hAnsi="宋体" w:eastAsia="宋体" w:cs="宋体"/>
            </w:rPr>
            <w:fldChar w:fldCharType="end"/>
          </w:r>
          <w:r>
            <w:rPr>
              <w:rFonts w:hint="eastAsia" w:ascii="宋体" w:hAnsi="宋体" w:eastAsia="宋体" w:cs="宋体"/>
              <w:szCs w:val="28"/>
            </w:rPr>
            <w:fldChar w:fldCharType="end"/>
          </w:r>
        </w:p>
        <w:p>
          <w:pPr>
            <w:pStyle w:val="13"/>
            <w:tabs>
              <w:tab w:val="right" w:leader="dot" w:pos="8674"/>
            </w:tabs>
            <w:rPr>
              <w:rFonts w:hint="eastAsia" w:ascii="宋体" w:hAnsi="宋体" w:eastAsia="宋体" w:cs="宋体"/>
            </w:rPr>
          </w:pPr>
          <w:r>
            <w:rPr>
              <w:rFonts w:hint="eastAsia" w:ascii="宋体" w:hAnsi="宋体" w:eastAsia="宋体" w:cs="宋体"/>
              <w:szCs w:val="28"/>
            </w:rPr>
            <w:fldChar w:fldCharType="begin"/>
          </w:r>
          <w:r>
            <w:rPr>
              <w:rFonts w:hint="eastAsia" w:ascii="宋体" w:hAnsi="宋体" w:eastAsia="宋体" w:cs="宋体"/>
              <w:szCs w:val="28"/>
            </w:rPr>
            <w:instrText xml:space="preserve"> HYPERLINK \l _Toc7924 </w:instrText>
          </w:r>
          <w:r>
            <w:rPr>
              <w:rFonts w:hint="eastAsia" w:ascii="宋体" w:hAnsi="宋体" w:eastAsia="宋体" w:cs="宋体"/>
              <w:szCs w:val="28"/>
            </w:rPr>
            <w:fldChar w:fldCharType="separate"/>
          </w:r>
          <w:r>
            <w:rPr>
              <w:rFonts w:hint="eastAsia" w:ascii="宋体" w:hAnsi="宋体" w:eastAsia="宋体" w:cs="宋体"/>
            </w:rPr>
            <w:t>二、 毕业生就业率及去向</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_Toc7924 </w:instrText>
          </w:r>
          <w:r>
            <w:rPr>
              <w:rFonts w:hint="eastAsia" w:ascii="宋体" w:hAnsi="宋体" w:eastAsia="宋体" w:cs="宋体"/>
            </w:rPr>
            <w:fldChar w:fldCharType="separate"/>
          </w:r>
          <w:r>
            <w:rPr>
              <w:rFonts w:hint="eastAsia" w:ascii="宋体" w:hAnsi="宋体" w:eastAsia="宋体" w:cs="宋体"/>
            </w:rPr>
            <w:t>4</w:t>
          </w:r>
          <w:r>
            <w:rPr>
              <w:rFonts w:hint="eastAsia" w:ascii="宋体" w:hAnsi="宋体" w:eastAsia="宋体" w:cs="宋体"/>
            </w:rPr>
            <w:fldChar w:fldCharType="end"/>
          </w:r>
          <w:r>
            <w:rPr>
              <w:rFonts w:hint="eastAsia" w:ascii="宋体" w:hAnsi="宋体" w:eastAsia="宋体" w:cs="宋体"/>
              <w:szCs w:val="28"/>
            </w:rPr>
            <w:fldChar w:fldCharType="end"/>
          </w:r>
        </w:p>
        <w:p>
          <w:pPr>
            <w:pStyle w:val="9"/>
            <w:tabs>
              <w:tab w:val="right" w:leader="dot" w:pos="8674"/>
            </w:tabs>
            <w:rPr>
              <w:rFonts w:hint="eastAsia" w:ascii="宋体" w:hAnsi="宋体" w:eastAsia="宋体" w:cs="宋体"/>
            </w:rPr>
          </w:pPr>
          <w:r>
            <w:rPr>
              <w:rFonts w:hint="eastAsia" w:ascii="宋体" w:hAnsi="宋体" w:eastAsia="宋体" w:cs="宋体"/>
              <w:szCs w:val="28"/>
            </w:rPr>
            <w:fldChar w:fldCharType="begin"/>
          </w:r>
          <w:r>
            <w:rPr>
              <w:rFonts w:hint="eastAsia" w:ascii="宋体" w:hAnsi="宋体" w:eastAsia="宋体" w:cs="宋体"/>
              <w:szCs w:val="28"/>
            </w:rPr>
            <w:instrText xml:space="preserve"> HYPERLINK \l _Toc17907 </w:instrText>
          </w:r>
          <w:r>
            <w:rPr>
              <w:rFonts w:hint="eastAsia" w:ascii="宋体" w:hAnsi="宋体" w:eastAsia="宋体" w:cs="宋体"/>
              <w:szCs w:val="28"/>
            </w:rPr>
            <w:fldChar w:fldCharType="separate"/>
          </w:r>
          <w:r>
            <w:rPr>
              <w:rFonts w:hint="eastAsia" w:ascii="宋体" w:hAnsi="宋体" w:eastAsia="宋体" w:cs="宋体"/>
            </w:rPr>
            <w:t>（一） 毕业生的就业率</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_Toc17907 </w:instrText>
          </w:r>
          <w:r>
            <w:rPr>
              <w:rFonts w:hint="eastAsia" w:ascii="宋体" w:hAnsi="宋体" w:eastAsia="宋体" w:cs="宋体"/>
            </w:rPr>
            <w:fldChar w:fldCharType="separate"/>
          </w:r>
          <w:r>
            <w:rPr>
              <w:rFonts w:hint="eastAsia" w:ascii="宋体" w:hAnsi="宋体" w:eastAsia="宋体" w:cs="宋体"/>
            </w:rPr>
            <w:t>4</w:t>
          </w:r>
          <w:r>
            <w:rPr>
              <w:rFonts w:hint="eastAsia" w:ascii="宋体" w:hAnsi="宋体" w:eastAsia="宋体" w:cs="宋体"/>
            </w:rPr>
            <w:fldChar w:fldCharType="end"/>
          </w:r>
          <w:r>
            <w:rPr>
              <w:rFonts w:hint="eastAsia" w:ascii="宋体" w:hAnsi="宋体" w:eastAsia="宋体" w:cs="宋体"/>
              <w:szCs w:val="28"/>
            </w:rPr>
            <w:fldChar w:fldCharType="end"/>
          </w:r>
        </w:p>
        <w:p>
          <w:pPr>
            <w:pStyle w:val="9"/>
            <w:tabs>
              <w:tab w:val="right" w:leader="dot" w:pos="8674"/>
            </w:tabs>
            <w:rPr>
              <w:rFonts w:hint="eastAsia" w:ascii="宋体" w:hAnsi="宋体" w:eastAsia="宋体" w:cs="宋体"/>
            </w:rPr>
          </w:pPr>
          <w:r>
            <w:rPr>
              <w:rFonts w:hint="eastAsia" w:ascii="宋体" w:hAnsi="宋体" w:eastAsia="宋体" w:cs="宋体"/>
              <w:szCs w:val="28"/>
            </w:rPr>
            <w:fldChar w:fldCharType="begin"/>
          </w:r>
          <w:r>
            <w:rPr>
              <w:rFonts w:hint="eastAsia" w:ascii="宋体" w:hAnsi="宋体" w:eastAsia="宋体" w:cs="宋体"/>
              <w:szCs w:val="28"/>
            </w:rPr>
            <w:instrText xml:space="preserve"> HYPERLINK \l _Toc6596 </w:instrText>
          </w:r>
          <w:r>
            <w:rPr>
              <w:rFonts w:hint="eastAsia" w:ascii="宋体" w:hAnsi="宋体" w:eastAsia="宋体" w:cs="宋体"/>
              <w:szCs w:val="28"/>
            </w:rPr>
            <w:fldChar w:fldCharType="separate"/>
          </w:r>
          <w:r>
            <w:rPr>
              <w:rFonts w:hint="eastAsia" w:ascii="宋体" w:hAnsi="宋体" w:eastAsia="宋体" w:cs="宋体"/>
            </w:rPr>
            <w:t>（二） 毕业去向分布</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_Toc6596 </w:instrText>
          </w:r>
          <w:r>
            <w:rPr>
              <w:rFonts w:hint="eastAsia" w:ascii="宋体" w:hAnsi="宋体" w:eastAsia="宋体" w:cs="宋体"/>
            </w:rPr>
            <w:fldChar w:fldCharType="separate"/>
          </w:r>
          <w:r>
            <w:rPr>
              <w:rFonts w:hint="eastAsia" w:ascii="宋体" w:hAnsi="宋体" w:eastAsia="宋体" w:cs="宋体"/>
            </w:rPr>
            <w:t>7</w:t>
          </w:r>
          <w:r>
            <w:rPr>
              <w:rFonts w:hint="eastAsia" w:ascii="宋体" w:hAnsi="宋体" w:eastAsia="宋体" w:cs="宋体"/>
            </w:rPr>
            <w:fldChar w:fldCharType="end"/>
          </w:r>
          <w:r>
            <w:rPr>
              <w:rFonts w:hint="eastAsia" w:ascii="宋体" w:hAnsi="宋体" w:eastAsia="宋体" w:cs="宋体"/>
              <w:szCs w:val="28"/>
            </w:rPr>
            <w:fldChar w:fldCharType="end"/>
          </w:r>
        </w:p>
        <w:p>
          <w:pPr>
            <w:pStyle w:val="13"/>
            <w:tabs>
              <w:tab w:val="right" w:leader="dot" w:pos="8674"/>
            </w:tabs>
            <w:rPr>
              <w:rFonts w:hint="eastAsia" w:ascii="宋体" w:hAnsi="宋体" w:eastAsia="宋体" w:cs="宋体"/>
            </w:rPr>
          </w:pPr>
          <w:r>
            <w:rPr>
              <w:rFonts w:hint="eastAsia" w:ascii="宋体" w:hAnsi="宋体" w:eastAsia="宋体" w:cs="宋体"/>
              <w:szCs w:val="28"/>
            </w:rPr>
            <w:fldChar w:fldCharType="begin"/>
          </w:r>
          <w:r>
            <w:rPr>
              <w:rFonts w:hint="eastAsia" w:ascii="宋体" w:hAnsi="宋体" w:eastAsia="宋体" w:cs="宋体"/>
              <w:szCs w:val="28"/>
            </w:rPr>
            <w:instrText xml:space="preserve"> HYPERLINK \l _Toc23057 </w:instrText>
          </w:r>
          <w:r>
            <w:rPr>
              <w:rFonts w:hint="eastAsia" w:ascii="宋体" w:hAnsi="宋体" w:eastAsia="宋体" w:cs="宋体"/>
              <w:szCs w:val="28"/>
            </w:rPr>
            <w:fldChar w:fldCharType="separate"/>
          </w:r>
          <w:r>
            <w:rPr>
              <w:rFonts w:hint="eastAsia" w:ascii="宋体" w:hAnsi="宋体" w:eastAsia="宋体" w:cs="宋体"/>
            </w:rPr>
            <w:t>三、 就业流向</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_Toc23057 </w:instrText>
          </w:r>
          <w:r>
            <w:rPr>
              <w:rFonts w:hint="eastAsia" w:ascii="宋体" w:hAnsi="宋体" w:eastAsia="宋体" w:cs="宋体"/>
            </w:rPr>
            <w:fldChar w:fldCharType="separate"/>
          </w:r>
          <w:r>
            <w:rPr>
              <w:rFonts w:hint="eastAsia" w:ascii="宋体" w:hAnsi="宋体" w:eastAsia="宋体" w:cs="宋体"/>
            </w:rPr>
            <w:t>10</w:t>
          </w:r>
          <w:r>
            <w:rPr>
              <w:rFonts w:hint="eastAsia" w:ascii="宋体" w:hAnsi="宋体" w:eastAsia="宋体" w:cs="宋体"/>
            </w:rPr>
            <w:fldChar w:fldCharType="end"/>
          </w:r>
          <w:r>
            <w:rPr>
              <w:rFonts w:hint="eastAsia" w:ascii="宋体" w:hAnsi="宋体" w:eastAsia="宋体" w:cs="宋体"/>
              <w:szCs w:val="28"/>
            </w:rPr>
            <w:fldChar w:fldCharType="end"/>
          </w:r>
        </w:p>
        <w:p>
          <w:pPr>
            <w:pStyle w:val="9"/>
            <w:tabs>
              <w:tab w:val="right" w:leader="dot" w:pos="8674"/>
            </w:tabs>
            <w:rPr>
              <w:rFonts w:hint="eastAsia" w:ascii="宋体" w:hAnsi="宋体" w:eastAsia="宋体" w:cs="宋体"/>
            </w:rPr>
          </w:pPr>
          <w:r>
            <w:rPr>
              <w:rFonts w:hint="eastAsia" w:ascii="宋体" w:hAnsi="宋体" w:eastAsia="宋体" w:cs="宋体"/>
              <w:szCs w:val="28"/>
            </w:rPr>
            <w:fldChar w:fldCharType="begin"/>
          </w:r>
          <w:r>
            <w:rPr>
              <w:rFonts w:hint="eastAsia" w:ascii="宋体" w:hAnsi="宋体" w:eastAsia="宋体" w:cs="宋体"/>
              <w:szCs w:val="28"/>
            </w:rPr>
            <w:instrText xml:space="preserve"> HYPERLINK \l _Toc25434 </w:instrText>
          </w:r>
          <w:r>
            <w:rPr>
              <w:rFonts w:hint="eastAsia" w:ascii="宋体" w:hAnsi="宋体" w:eastAsia="宋体" w:cs="宋体"/>
              <w:szCs w:val="28"/>
            </w:rPr>
            <w:fldChar w:fldCharType="separate"/>
          </w:r>
          <w:r>
            <w:rPr>
              <w:rFonts w:hint="eastAsia" w:ascii="宋体" w:hAnsi="宋体" w:eastAsia="宋体" w:cs="宋体"/>
            </w:rPr>
            <w:t>（一） 毕业生的职业流向</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_Toc25434 </w:instrText>
          </w:r>
          <w:r>
            <w:rPr>
              <w:rFonts w:hint="eastAsia" w:ascii="宋体" w:hAnsi="宋体" w:eastAsia="宋体" w:cs="宋体"/>
            </w:rPr>
            <w:fldChar w:fldCharType="separate"/>
          </w:r>
          <w:r>
            <w:rPr>
              <w:rFonts w:hint="eastAsia" w:ascii="宋体" w:hAnsi="宋体" w:eastAsia="宋体" w:cs="宋体"/>
            </w:rPr>
            <w:t>10</w:t>
          </w:r>
          <w:r>
            <w:rPr>
              <w:rFonts w:hint="eastAsia" w:ascii="宋体" w:hAnsi="宋体" w:eastAsia="宋体" w:cs="宋体"/>
            </w:rPr>
            <w:fldChar w:fldCharType="end"/>
          </w:r>
          <w:r>
            <w:rPr>
              <w:rFonts w:hint="eastAsia" w:ascii="宋体" w:hAnsi="宋体" w:eastAsia="宋体" w:cs="宋体"/>
              <w:szCs w:val="28"/>
            </w:rPr>
            <w:fldChar w:fldCharType="end"/>
          </w:r>
        </w:p>
        <w:p>
          <w:pPr>
            <w:pStyle w:val="9"/>
            <w:tabs>
              <w:tab w:val="right" w:leader="dot" w:pos="8674"/>
            </w:tabs>
            <w:rPr>
              <w:rFonts w:hint="eastAsia" w:ascii="宋体" w:hAnsi="宋体" w:eastAsia="宋体" w:cs="宋体"/>
            </w:rPr>
          </w:pPr>
          <w:r>
            <w:rPr>
              <w:rFonts w:hint="eastAsia" w:ascii="宋体" w:hAnsi="宋体" w:eastAsia="宋体" w:cs="宋体"/>
              <w:szCs w:val="28"/>
            </w:rPr>
            <w:fldChar w:fldCharType="begin"/>
          </w:r>
          <w:r>
            <w:rPr>
              <w:rFonts w:hint="eastAsia" w:ascii="宋体" w:hAnsi="宋体" w:eastAsia="宋体" w:cs="宋体"/>
              <w:szCs w:val="28"/>
            </w:rPr>
            <w:instrText xml:space="preserve"> HYPERLINK \l _Toc12453 </w:instrText>
          </w:r>
          <w:r>
            <w:rPr>
              <w:rFonts w:hint="eastAsia" w:ascii="宋体" w:hAnsi="宋体" w:eastAsia="宋体" w:cs="宋体"/>
              <w:szCs w:val="28"/>
            </w:rPr>
            <w:fldChar w:fldCharType="separate"/>
          </w:r>
          <w:r>
            <w:rPr>
              <w:rFonts w:hint="eastAsia" w:ascii="宋体" w:hAnsi="宋体" w:eastAsia="宋体" w:cs="宋体"/>
              <w:lang w:val="en-US" w:eastAsia="zh-CN"/>
            </w:rPr>
            <w:t xml:space="preserve">（二） </w:t>
          </w:r>
          <w:r>
            <w:rPr>
              <w:rFonts w:hint="eastAsia" w:ascii="宋体" w:hAnsi="宋体" w:eastAsia="宋体" w:cs="宋体"/>
            </w:rPr>
            <w:t>各院系及专业</w:t>
          </w:r>
          <w:r>
            <w:rPr>
              <w:rFonts w:hint="eastAsia" w:ascii="宋体" w:hAnsi="宋体" w:eastAsia="宋体" w:cs="宋体"/>
              <w:lang w:eastAsia="zh-CN"/>
            </w:rPr>
            <w:t>毕业生</w:t>
          </w:r>
          <w:r>
            <w:rPr>
              <w:rFonts w:hint="eastAsia" w:ascii="宋体" w:hAnsi="宋体" w:eastAsia="宋体" w:cs="宋体"/>
            </w:rPr>
            <w:t>的职业流向</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_Toc12453 </w:instrText>
          </w:r>
          <w:r>
            <w:rPr>
              <w:rFonts w:hint="eastAsia" w:ascii="宋体" w:hAnsi="宋体" w:eastAsia="宋体" w:cs="宋体"/>
            </w:rPr>
            <w:fldChar w:fldCharType="separate"/>
          </w:r>
          <w:r>
            <w:rPr>
              <w:rFonts w:hint="eastAsia" w:ascii="宋体" w:hAnsi="宋体" w:eastAsia="宋体" w:cs="宋体"/>
            </w:rPr>
            <w:t>10</w:t>
          </w:r>
          <w:r>
            <w:rPr>
              <w:rFonts w:hint="eastAsia" w:ascii="宋体" w:hAnsi="宋体" w:eastAsia="宋体" w:cs="宋体"/>
            </w:rPr>
            <w:fldChar w:fldCharType="end"/>
          </w:r>
          <w:r>
            <w:rPr>
              <w:rFonts w:hint="eastAsia" w:ascii="宋体" w:hAnsi="宋体" w:eastAsia="宋体" w:cs="宋体"/>
              <w:szCs w:val="28"/>
            </w:rPr>
            <w:fldChar w:fldCharType="end"/>
          </w:r>
        </w:p>
        <w:p>
          <w:pPr>
            <w:pStyle w:val="9"/>
            <w:tabs>
              <w:tab w:val="right" w:leader="dot" w:pos="8674"/>
            </w:tabs>
            <w:rPr>
              <w:rFonts w:hint="eastAsia" w:ascii="宋体" w:hAnsi="宋体" w:eastAsia="宋体" w:cs="宋体"/>
            </w:rPr>
          </w:pPr>
          <w:r>
            <w:rPr>
              <w:rFonts w:hint="eastAsia" w:ascii="宋体" w:hAnsi="宋体" w:eastAsia="宋体" w:cs="宋体"/>
              <w:szCs w:val="28"/>
            </w:rPr>
            <w:fldChar w:fldCharType="begin"/>
          </w:r>
          <w:r>
            <w:rPr>
              <w:rFonts w:hint="eastAsia" w:ascii="宋体" w:hAnsi="宋体" w:eastAsia="宋体" w:cs="宋体"/>
              <w:szCs w:val="28"/>
            </w:rPr>
            <w:instrText xml:space="preserve"> HYPERLINK \l _Toc30274 </w:instrText>
          </w:r>
          <w:r>
            <w:rPr>
              <w:rFonts w:hint="eastAsia" w:ascii="宋体" w:hAnsi="宋体" w:eastAsia="宋体" w:cs="宋体"/>
              <w:szCs w:val="28"/>
            </w:rPr>
            <w:fldChar w:fldCharType="separate"/>
          </w:r>
          <w:r>
            <w:rPr>
              <w:rFonts w:hint="eastAsia" w:ascii="宋体" w:hAnsi="宋体" w:eastAsia="宋体" w:cs="宋体"/>
            </w:rPr>
            <w:t>（三） 毕业生的行业流向</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_Toc30274 </w:instrText>
          </w:r>
          <w:r>
            <w:rPr>
              <w:rFonts w:hint="eastAsia" w:ascii="宋体" w:hAnsi="宋体" w:eastAsia="宋体" w:cs="宋体"/>
            </w:rPr>
            <w:fldChar w:fldCharType="separate"/>
          </w:r>
          <w:r>
            <w:rPr>
              <w:rFonts w:hint="eastAsia" w:ascii="宋体" w:hAnsi="宋体" w:eastAsia="宋体" w:cs="宋体"/>
            </w:rPr>
            <w:t>12</w:t>
          </w:r>
          <w:r>
            <w:rPr>
              <w:rFonts w:hint="eastAsia" w:ascii="宋体" w:hAnsi="宋体" w:eastAsia="宋体" w:cs="宋体"/>
            </w:rPr>
            <w:fldChar w:fldCharType="end"/>
          </w:r>
          <w:r>
            <w:rPr>
              <w:rFonts w:hint="eastAsia" w:ascii="宋体" w:hAnsi="宋体" w:eastAsia="宋体" w:cs="宋体"/>
              <w:szCs w:val="28"/>
            </w:rPr>
            <w:fldChar w:fldCharType="end"/>
          </w:r>
        </w:p>
        <w:p>
          <w:pPr>
            <w:pStyle w:val="9"/>
            <w:tabs>
              <w:tab w:val="right" w:leader="dot" w:pos="8674"/>
            </w:tabs>
            <w:rPr>
              <w:rFonts w:hint="eastAsia" w:ascii="宋体" w:hAnsi="宋体" w:eastAsia="宋体" w:cs="宋体"/>
            </w:rPr>
          </w:pPr>
          <w:r>
            <w:rPr>
              <w:rFonts w:hint="eastAsia" w:ascii="宋体" w:hAnsi="宋体" w:eastAsia="宋体" w:cs="宋体"/>
              <w:szCs w:val="28"/>
            </w:rPr>
            <w:fldChar w:fldCharType="begin"/>
          </w:r>
          <w:r>
            <w:rPr>
              <w:rFonts w:hint="eastAsia" w:ascii="宋体" w:hAnsi="宋体" w:eastAsia="宋体" w:cs="宋体"/>
              <w:szCs w:val="28"/>
            </w:rPr>
            <w:instrText xml:space="preserve"> HYPERLINK \l _Toc8732 </w:instrText>
          </w:r>
          <w:r>
            <w:rPr>
              <w:rFonts w:hint="eastAsia" w:ascii="宋体" w:hAnsi="宋体" w:eastAsia="宋体" w:cs="宋体"/>
              <w:szCs w:val="28"/>
            </w:rPr>
            <w:fldChar w:fldCharType="separate"/>
          </w:r>
          <w:r>
            <w:rPr>
              <w:rFonts w:hint="eastAsia" w:ascii="宋体" w:hAnsi="宋体" w:eastAsia="宋体" w:cs="宋体"/>
            </w:rPr>
            <w:t>（四） 各院系及专业毕业生的行业流向</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_Toc8732 </w:instrText>
          </w:r>
          <w:r>
            <w:rPr>
              <w:rFonts w:hint="eastAsia" w:ascii="宋体" w:hAnsi="宋体" w:eastAsia="宋体" w:cs="宋体"/>
            </w:rPr>
            <w:fldChar w:fldCharType="separate"/>
          </w:r>
          <w:r>
            <w:rPr>
              <w:rFonts w:hint="eastAsia" w:ascii="宋体" w:hAnsi="宋体" w:eastAsia="宋体" w:cs="宋体"/>
            </w:rPr>
            <w:t>12</w:t>
          </w:r>
          <w:r>
            <w:rPr>
              <w:rFonts w:hint="eastAsia" w:ascii="宋体" w:hAnsi="宋体" w:eastAsia="宋体" w:cs="宋体"/>
            </w:rPr>
            <w:fldChar w:fldCharType="end"/>
          </w:r>
          <w:r>
            <w:rPr>
              <w:rFonts w:hint="eastAsia" w:ascii="宋体" w:hAnsi="宋体" w:eastAsia="宋体" w:cs="宋体"/>
              <w:szCs w:val="28"/>
            </w:rPr>
            <w:fldChar w:fldCharType="end"/>
          </w:r>
        </w:p>
        <w:p>
          <w:pPr>
            <w:pStyle w:val="9"/>
            <w:tabs>
              <w:tab w:val="right" w:leader="dot" w:pos="8674"/>
            </w:tabs>
            <w:rPr>
              <w:rFonts w:hint="eastAsia" w:ascii="宋体" w:hAnsi="宋体" w:eastAsia="宋体" w:cs="宋体"/>
            </w:rPr>
          </w:pPr>
          <w:r>
            <w:rPr>
              <w:rFonts w:hint="eastAsia" w:ascii="宋体" w:hAnsi="宋体" w:eastAsia="宋体" w:cs="宋体"/>
              <w:szCs w:val="28"/>
            </w:rPr>
            <w:fldChar w:fldCharType="begin"/>
          </w:r>
          <w:r>
            <w:rPr>
              <w:rFonts w:hint="eastAsia" w:ascii="宋体" w:hAnsi="宋体" w:eastAsia="宋体" w:cs="宋体"/>
              <w:szCs w:val="28"/>
            </w:rPr>
            <w:instrText xml:space="preserve"> HYPERLINK \l _Toc22764 </w:instrText>
          </w:r>
          <w:r>
            <w:rPr>
              <w:rFonts w:hint="eastAsia" w:ascii="宋体" w:hAnsi="宋体" w:eastAsia="宋体" w:cs="宋体"/>
              <w:szCs w:val="28"/>
            </w:rPr>
            <w:fldChar w:fldCharType="separate"/>
          </w:r>
          <w:r>
            <w:rPr>
              <w:rFonts w:hint="eastAsia" w:ascii="宋体" w:hAnsi="宋体" w:eastAsia="宋体" w:cs="宋体"/>
            </w:rPr>
            <w:t>（五） 毕业生的用人单位流向</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_Toc22764 </w:instrText>
          </w:r>
          <w:r>
            <w:rPr>
              <w:rFonts w:hint="eastAsia" w:ascii="宋体" w:hAnsi="宋体" w:eastAsia="宋体" w:cs="宋体"/>
            </w:rPr>
            <w:fldChar w:fldCharType="separate"/>
          </w:r>
          <w:r>
            <w:rPr>
              <w:rFonts w:hint="eastAsia" w:ascii="宋体" w:hAnsi="宋体" w:eastAsia="宋体" w:cs="宋体"/>
            </w:rPr>
            <w:t>13</w:t>
          </w:r>
          <w:r>
            <w:rPr>
              <w:rFonts w:hint="eastAsia" w:ascii="宋体" w:hAnsi="宋体" w:eastAsia="宋体" w:cs="宋体"/>
            </w:rPr>
            <w:fldChar w:fldCharType="end"/>
          </w:r>
          <w:r>
            <w:rPr>
              <w:rFonts w:hint="eastAsia" w:ascii="宋体" w:hAnsi="宋体" w:eastAsia="宋体" w:cs="宋体"/>
              <w:szCs w:val="28"/>
            </w:rPr>
            <w:fldChar w:fldCharType="end"/>
          </w:r>
        </w:p>
        <w:p>
          <w:pPr>
            <w:pStyle w:val="9"/>
            <w:tabs>
              <w:tab w:val="right" w:leader="dot" w:pos="8674"/>
            </w:tabs>
            <w:rPr>
              <w:rFonts w:hint="eastAsia" w:ascii="宋体" w:hAnsi="宋体" w:eastAsia="宋体" w:cs="宋体"/>
            </w:rPr>
          </w:pPr>
          <w:r>
            <w:rPr>
              <w:rFonts w:hint="eastAsia" w:ascii="宋体" w:hAnsi="宋体" w:eastAsia="宋体" w:cs="宋体"/>
              <w:szCs w:val="28"/>
            </w:rPr>
            <w:fldChar w:fldCharType="begin"/>
          </w:r>
          <w:r>
            <w:rPr>
              <w:rFonts w:hint="eastAsia" w:ascii="宋体" w:hAnsi="宋体" w:eastAsia="宋体" w:cs="宋体"/>
              <w:szCs w:val="28"/>
            </w:rPr>
            <w:instrText xml:space="preserve"> HYPERLINK \l _Toc13335 </w:instrText>
          </w:r>
          <w:r>
            <w:rPr>
              <w:rFonts w:hint="eastAsia" w:ascii="宋体" w:hAnsi="宋体" w:eastAsia="宋体" w:cs="宋体"/>
              <w:szCs w:val="28"/>
            </w:rPr>
            <w:fldChar w:fldCharType="separate"/>
          </w:r>
          <w:r>
            <w:rPr>
              <w:rFonts w:hint="eastAsia" w:ascii="宋体" w:hAnsi="宋体" w:eastAsia="宋体" w:cs="宋体"/>
            </w:rPr>
            <w:t>（六） 各院系及专业</w:t>
          </w:r>
          <w:r>
            <w:rPr>
              <w:rFonts w:hint="eastAsia" w:ascii="宋体" w:hAnsi="宋体" w:eastAsia="宋体" w:cs="宋体"/>
              <w:lang w:eastAsia="zh-CN"/>
            </w:rPr>
            <w:t>毕业生</w:t>
          </w:r>
          <w:r>
            <w:rPr>
              <w:rFonts w:hint="eastAsia" w:ascii="宋体" w:hAnsi="宋体" w:eastAsia="宋体" w:cs="宋体"/>
            </w:rPr>
            <w:t>的用人单位流向</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_Toc13335 </w:instrText>
          </w:r>
          <w:r>
            <w:rPr>
              <w:rFonts w:hint="eastAsia" w:ascii="宋体" w:hAnsi="宋体" w:eastAsia="宋体" w:cs="宋体"/>
            </w:rPr>
            <w:fldChar w:fldCharType="separate"/>
          </w:r>
          <w:r>
            <w:rPr>
              <w:rFonts w:hint="eastAsia" w:ascii="宋体" w:hAnsi="宋体" w:eastAsia="宋体" w:cs="宋体"/>
            </w:rPr>
            <w:t>14</w:t>
          </w:r>
          <w:r>
            <w:rPr>
              <w:rFonts w:hint="eastAsia" w:ascii="宋体" w:hAnsi="宋体" w:eastAsia="宋体" w:cs="宋体"/>
            </w:rPr>
            <w:fldChar w:fldCharType="end"/>
          </w:r>
          <w:r>
            <w:rPr>
              <w:rFonts w:hint="eastAsia" w:ascii="宋体" w:hAnsi="宋体" w:eastAsia="宋体" w:cs="宋体"/>
              <w:szCs w:val="28"/>
            </w:rPr>
            <w:fldChar w:fldCharType="end"/>
          </w:r>
        </w:p>
        <w:p>
          <w:pPr>
            <w:pStyle w:val="9"/>
            <w:tabs>
              <w:tab w:val="right" w:leader="dot" w:pos="8674"/>
            </w:tabs>
            <w:rPr>
              <w:rFonts w:hint="eastAsia" w:ascii="宋体" w:hAnsi="宋体" w:eastAsia="宋体" w:cs="宋体"/>
            </w:rPr>
          </w:pPr>
          <w:r>
            <w:rPr>
              <w:rFonts w:hint="eastAsia" w:ascii="宋体" w:hAnsi="宋体" w:eastAsia="宋体" w:cs="宋体"/>
              <w:szCs w:val="28"/>
            </w:rPr>
            <w:fldChar w:fldCharType="begin"/>
          </w:r>
          <w:r>
            <w:rPr>
              <w:rFonts w:hint="eastAsia" w:ascii="宋体" w:hAnsi="宋体" w:eastAsia="宋体" w:cs="宋体"/>
              <w:szCs w:val="28"/>
            </w:rPr>
            <w:instrText xml:space="preserve"> HYPERLINK \l _Toc22449 </w:instrText>
          </w:r>
          <w:r>
            <w:rPr>
              <w:rFonts w:hint="eastAsia" w:ascii="宋体" w:hAnsi="宋体" w:eastAsia="宋体" w:cs="宋体"/>
              <w:szCs w:val="28"/>
            </w:rPr>
            <w:fldChar w:fldCharType="separate"/>
          </w:r>
          <w:r>
            <w:rPr>
              <w:rFonts w:hint="eastAsia" w:ascii="宋体" w:hAnsi="宋体" w:eastAsia="宋体" w:cs="宋体"/>
              <w:lang w:eastAsia="zh-CN"/>
            </w:rPr>
            <w:t>（七） 毕业生在中国500强企业就业的比例</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_Toc22449 </w:instrText>
          </w:r>
          <w:r>
            <w:rPr>
              <w:rFonts w:hint="eastAsia" w:ascii="宋体" w:hAnsi="宋体" w:eastAsia="宋体" w:cs="宋体"/>
            </w:rPr>
            <w:fldChar w:fldCharType="separate"/>
          </w:r>
          <w:r>
            <w:rPr>
              <w:rFonts w:hint="eastAsia" w:ascii="宋体" w:hAnsi="宋体" w:eastAsia="宋体" w:cs="宋体"/>
            </w:rPr>
            <w:t>20</w:t>
          </w:r>
          <w:r>
            <w:rPr>
              <w:rFonts w:hint="eastAsia" w:ascii="宋体" w:hAnsi="宋体" w:eastAsia="宋体" w:cs="宋体"/>
            </w:rPr>
            <w:fldChar w:fldCharType="end"/>
          </w:r>
          <w:r>
            <w:rPr>
              <w:rFonts w:hint="eastAsia" w:ascii="宋体" w:hAnsi="宋体" w:eastAsia="宋体" w:cs="宋体"/>
              <w:szCs w:val="28"/>
            </w:rPr>
            <w:fldChar w:fldCharType="end"/>
          </w:r>
        </w:p>
        <w:p>
          <w:pPr>
            <w:pStyle w:val="9"/>
            <w:tabs>
              <w:tab w:val="right" w:leader="dot" w:pos="8674"/>
            </w:tabs>
            <w:rPr>
              <w:rFonts w:hint="eastAsia" w:ascii="宋体" w:hAnsi="宋体" w:eastAsia="宋体" w:cs="宋体"/>
            </w:rPr>
          </w:pPr>
          <w:r>
            <w:rPr>
              <w:rFonts w:hint="eastAsia" w:ascii="宋体" w:hAnsi="宋体" w:eastAsia="宋体" w:cs="宋体"/>
              <w:szCs w:val="28"/>
            </w:rPr>
            <w:fldChar w:fldCharType="begin"/>
          </w:r>
          <w:r>
            <w:rPr>
              <w:rFonts w:hint="eastAsia" w:ascii="宋体" w:hAnsi="宋体" w:eastAsia="宋体" w:cs="宋体"/>
              <w:szCs w:val="28"/>
            </w:rPr>
            <w:instrText xml:space="preserve"> HYPERLINK \l _Toc29121 </w:instrText>
          </w:r>
          <w:r>
            <w:rPr>
              <w:rFonts w:hint="eastAsia" w:ascii="宋体" w:hAnsi="宋体" w:eastAsia="宋体" w:cs="宋体"/>
              <w:szCs w:val="28"/>
            </w:rPr>
            <w:fldChar w:fldCharType="separate"/>
          </w:r>
          <w:r>
            <w:rPr>
              <w:rFonts w:hint="eastAsia" w:ascii="宋体" w:hAnsi="宋体" w:eastAsia="宋体" w:cs="宋体"/>
              <w:lang w:eastAsia="zh-CN"/>
            </w:rPr>
            <w:t>（八） 各院系及专业毕业生在中国500强企业就业的比例</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_Toc29121 </w:instrText>
          </w:r>
          <w:r>
            <w:rPr>
              <w:rFonts w:hint="eastAsia" w:ascii="宋体" w:hAnsi="宋体" w:eastAsia="宋体" w:cs="宋体"/>
            </w:rPr>
            <w:fldChar w:fldCharType="separate"/>
          </w:r>
          <w:r>
            <w:rPr>
              <w:rFonts w:hint="eastAsia" w:ascii="宋体" w:hAnsi="宋体" w:eastAsia="宋体" w:cs="宋体"/>
            </w:rPr>
            <w:t>21</w:t>
          </w:r>
          <w:r>
            <w:rPr>
              <w:rFonts w:hint="eastAsia" w:ascii="宋体" w:hAnsi="宋体" w:eastAsia="宋体" w:cs="宋体"/>
            </w:rPr>
            <w:fldChar w:fldCharType="end"/>
          </w:r>
          <w:r>
            <w:rPr>
              <w:rFonts w:hint="eastAsia" w:ascii="宋体" w:hAnsi="宋体" w:eastAsia="宋体" w:cs="宋体"/>
              <w:szCs w:val="28"/>
            </w:rPr>
            <w:fldChar w:fldCharType="end"/>
          </w:r>
        </w:p>
        <w:p>
          <w:pPr>
            <w:pStyle w:val="9"/>
            <w:tabs>
              <w:tab w:val="right" w:leader="dot" w:pos="8674"/>
            </w:tabs>
            <w:rPr>
              <w:rFonts w:hint="eastAsia" w:ascii="宋体" w:hAnsi="宋体" w:eastAsia="宋体" w:cs="宋体"/>
            </w:rPr>
          </w:pPr>
          <w:r>
            <w:rPr>
              <w:rFonts w:hint="eastAsia" w:ascii="宋体" w:hAnsi="宋体" w:eastAsia="宋体" w:cs="宋体"/>
              <w:szCs w:val="28"/>
            </w:rPr>
            <w:fldChar w:fldCharType="begin"/>
          </w:r>
          <w:r>
            <w:rPr>
              <w:rFonts w:hint="eastAsia" w:ascii="宋体" w:hAnsi="宋体" w:eastAsia="宋体" w:cs="宋体"/>
              <w:szCs w:val="28"/>
            </w:rPr>
            <w:instrText xml:space="preserve"> HYPERLINK \l _Toc26727 </w:instrText>
          </w:r>
          <w:r>
            <w:rPr>
              <w:rFonts w:hint="eastAsia" w:ascii="宋体" w:hAnsi="宋体" w:eastAsia="宋体" w:cs="宋体"/>
              <w:szCs w:val="28"/>
            </w:rPr>
            <w:fldChar w:fldCharType="separate"/>
          </w:r>
          <w:r>
            <w:rPr>
              <w:rFonts w:hint="eastAsia" w:ascii="宋体" w:hAnsi="宋体" w:eastAsia="宋体" w:cs="宋体"/>
            </w:rPr>
            <w:t>（九） 就业毕业生的地区</w:t>
          </w:r>
          <w:r>
            <w:rPr>
              <w:rFonts w:hint="eastAsia" w:ascii="宋体" w:hAnsi="宋体" w:eastAsia="宋体" w:cs="宋体"/>
              <w:lang w:eastAsia="zh-CN"/>
            </w:rPr>
            <w:t>流向</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_Toc26727 </w:instrText>
          </w:r>
          <w:r>
            <w:rPr>
              <w:rFonts w:hint="eastAsia" w:ascii="宋体" w:hAnsi="宋体" w:eastAsia="宋体" w:cs="宋体"/>
            </w:rPr>
            <w:fldChar w:fldCharType="separate"/>
          </w:r>
          <w:r>
            <w:rPr>
              <w:rFonts w:hint="eastAsia" w:ascii="宋体" w:hAnsi="宋体" w:eastAsia="宋体" w:cs="宋体"/>
            </w:rPr>
            <w:t>23</w:t>
          </w:r>
          <w:r>
            <w:rPr>
              <w:rFonts w:hint="eastAsia" w:ascii="宋体" w:hAnsi="宋体" w:eastAsia="宋体" w:cs="宋体"/>
            </w:rPr>
            <w:fldChar w:fldCharType="end"/>
          </w:r>
          <w:r>
            <w:rPr>
              <w:rFonts w:hint="eastAsia" w:ascii="宋体" w:hAnsi="宋体" w:eastAsia="宋体" w:cs="宋体"/>
              <w:szCs w:val="28"/>
            </w:rPr>
            <w:fldChar w:fldCharType="end"/>
          </w:r>
        </w:p>
        <w:p>
          <w:pPr>
            <w:pStyle w:val="13"/>
            <w:tabs>
              <w:tab w:val="right" w:leader="dot" w:pos="8674"/>
            </w:tabs>
            <w:rPr>
              <w:rFonts w:hint="eastAsia" w:ascii="宋体" w:hAnsi="宋体" w:eastAsia="宋体" w:cs="宋体"/>
            </w:rPr>
          </w:pPr>
          <w:r>
            <w:rPr>
              <w:rFonts w:hint="eastAsia" w:ascii="宋体" w:hAnsi="宋体" w:eastAsia="宋体" w:cs="宋体"/>
              <w:szCs w:val="28"/>
            </w:rPr>
            <w:fldChar w:fldCharType="begin"/>
          </w:r>
          <w:r>
            <w:rPr>
              <w:rFonts w:hint="eastAsia" w:ascii="宋体" w:hAnsi="宋体" w:eastAsia="宋体" w:cs="宋体"/>
              <w:szCs w:val="28"/>
            </w:rPr>
            <w:instrText xml:space="preserve"> HYPERLINK \l _Toc31653 </w:instrText>
          </w:r>
          <w:r>
            <w:rPr>
              <w:rFonts w:hint="eastAsia" w:ascii="宋体" w:hAnsi="宋体" w:eastAsia="宋体" w:cs="宋体"/>
              <w:szCs w:val="28"/>
            </w:rPr>
            <w:fldChar w:fldCharType="separate"/>
          </w:r>
          <w:r>
            <w:rPr>
              <w:rFonts w:hint="eastAsia" w:ascii="宋体" w:hAnsi="宋体" w:eastAsia="宋体" w:cs="宋体"/>
            </w:rPr>
            <w:t>四、 毕业生的升学情况</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_Toc31653 </w:instrText>
          </w:r>
          <w:r>
            <w:rPr>
              <w:rFonts w:hint="eastAsia" w:ascii="宋体" w:hAnsi="宋体" w:eastAsia="宋体" w:cs="宋体"/>
            </w:rPr>
            <w:fldChar w:fldCharType="separate"/>
          </w:r>
          <w:r>
            <w:rPr>
              <w:rFonts w:hint="eastAsia" w:ascii="宋体" w:hAnsi="宋体" w:eastAsia="宋体" w:cs="宋体"/>
            </w:rPr>
            <w:t>24</w:t>
          </w:r>
          <w:r>
            <w:rPr>
              <w:rFonts w:hint="eastAsia" w:ascii="宋体" w:hAnsi="宋体" w:eastAsia="宋体" w:cs="宋体"/>
            </w:rPr>
            <w:fldChar w:fldCharType="end"/>
          </w:r>
          <w:r>
            <w:rPr>
              <w:rFonts w:hint="eastAsia" w:ascii="宋体" w:hAnsi="宋体" w:eastAsia="宋体" w:cs="宋体"/>
              <w:szCs w:val="28"/>
            </w:rPr>
            <w:fldChar w:fldCharType="end"/>
          </w:r>
        </w:p>
        <w:p>
          <w:pPr>
            <w:pStyle w:val="9"/>
            <w:tabs>
              <w:tab w:val="right" w:leader="dot" w:pos="8674"/>
            </w:tabs>
            <w:rPr>
              <w:rFonts w:hint="eastAsia" w:ascii="宋体" w:hAnsi="宋体" w:eastAsia="宋体" w:cs="宋体"/>
            </w:rPr>
          </w:pPr>
          <w:r>
            <w:rPr>
              <w:rFonts w:hint="eastAsia" w:ascii="宋体" w:hAnsi="宋体" w:eastAsia="宋体" w:cs="宋体"/>
              <w:szCs w:val="28"/>
            </w:rPr>
            <w:fldChar w:fldCharType="begin"/>
          </w:r>
          <w:r>
            <w:rPr>
              <w:rFonts w:hint="eastAsia" w:ascii="宋体" w:hAnsi="宋体" w:eastAsia="宋体" w:cs="宋体"/>
              <w:szCs w:val="28"/>
            </w:rPr>
            <w:instrText xml:space="preserve"> HYPERLINK \l _Toc19278 </w:instrText>
          </w:r>
          <w:r>
            <w:rPr>
              <w:rFonts w:hint="eastAsia" w:ascii="宋体" w:hAnsi="宋体" w:eastAsia="宋体" w:cs="宋体"/>
              <w:szCs w:val="28"/>
            </w:rPr>
            <w:fldChar w:fldCharType="separate"/>
          </w:r>
          <w:r>
            <w:rPr>
              <w:rFonts w:hint="eastAsia" w:ascii="宋体" w:hAnsi="宋体" w:eastAsia="宋体" w:cs="宋体"/>
            </w:rPr>
            <w:t>（一） 毕业生的升学比例</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_Toc19278 </w:instrText>
          </w:r>
          <w:r>
            <w:rPr>
              <w:rFonts w:hint="eastAsia" w:ascii="宋体" w:hAnsi="宋体" w:eastAsia="宋体" w:cs="宋体"/>
            </w:rPr>
            <w:fldChar w:fldCharType="separate"/>
          </w:r>
          <w:r>
            <w:rPr>
              <w:rFonts w:hint="eastAsia" w:ascii="宋体" w:hAnsi="宋体" w:eastAsia="宋体" w:cs="宋体"/>
            </w:rPr>
            <w:t>24</w:t>
          </w:r>
          <w:r>
            <w:rPr>
              <w:rFonts w:hint="eastAsia" w:ascii="宋体" w:hAnsi="宋体" w:eastAsia="宋体" w:cs="宋体"/>
            </w:rPr>
            <w:fldChar w:fldCharType="end"/>
          </w:r>
          <w:r>
            <w:rPr>
              <w:rFonts w:hint="eastAsia" w:ascii="宋体" w:hAnsi="宋体" w:eastAsia="宋体" w:cs="宋体"/>
              <w:szCs w:val="28"/>
            </w:rPr>
            <w:fldChar w:fldCharType="end"/>
          </w:r>
        </w:p>
        <w:p>
          <w:pPr>
            <w:pStyle w:val="9"/>
            <w:tabs>
              <w:tab w:val="right" w:leader="dot" w:pos="8674"/>
            </w:tabs>
            <w:rPr>
              <w:rFonts w:hint="eastAsia" w:ascii="宋体" w:hAnsi="宋体" w:eastAsia="宋体" w:cs="宋体"/>
            </w:rPr>
          </w:pPr>
          <w:r>
            <w:rPr>
              <w:rFonts w:hint="eastAsia" w:ascii="宋体" w:hAnsi="宋体" w:eastAsia="宋体" w:cs="宋体"/>
              <w:szCs w:val="28"/>
            </w:rPr>
            <w:fldChar w:fldCharType="begin"/>
          </w:r>
          <w:r>
            <w:rPr>
              <w:rFonts w:hint="eastAsia" w:ascii="宋体" w:hAnsi="宋体" w:eastAsia="宋体" w:cs="宋体"/>
              <w:szCs w:val="28"/>
            </w:rPr>
            <w:instrText xml:space="preserve"> HYPERLINK \l _Toc13146 </w:instrText>
          </w:r>
          <w:r>
            <w:rPr>
              <w:rFonts w:hint="eastAsia" w:ascii="宋体" w:hAnsi="宋体" w:eastAsia="宋体" w:cs="宋体"/>
              <w:szCs w:val="28"/>
            </w:rPr>
            <w:fldChar w:fldCharType="separate"/>
          </w:r>
          <w:r>
            <w:rPr>
              <w:rFonts w:hint="eastAsia" w:ascii="宋体" w:hAnsi="宋体" w:eastAsia="宋体" w:cs="宋体"/>
            </w:rPr>
            <w:t>（二） 各院系及专业的升学比例</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_Toc13146 </w:instrText>
          </w:r>
          <w:r>
            <w:rPr>
              <w:rFonts w:hint="eastAsia" w:ascii="宋体" w:hAnsi="宋体" w:eastAsia="宋体" w:cs="宋体"/>
            </w:rPr>
            <w:fldChar w:fldCharType="separate"/>
          </w:r>
          <w:r>
            <w:rPr>
              <w:rFonts w:hint="eastAsia" w:ascii="宋体" w:hAnsi="宋体" w:eastAsia="宋体" w:cs="宋体"/>
            </w:rPr>
            <w:t>25</w:t>
          </w:r>
          <w:r>
            <w:rPr>
              <w:rFonts w:hint="eastAsia" w:ascii="宋体" w:hAnsi="宋体" w:eastAsia="宋体" w:cs="宋体"/>
            </w:rPr>
            <w:fldChar w:fldCharType="end"/>
          </w:r>
          <w:r>
            <w:rPr>
              <w:rFonts w:hint="eastAsia" w:ascii="宋体" w:hAnsi="宋体" w:eastAsia="宋体" w:cs="宋体"/>
              <w:szCs w:val="28"/>
            </w:rPr>
            <w:fldChar w:fldCharType="end"/>
          </w:r>
        </w:p>
        <w:p>
          <w:pPr>
            <w:pStyle w:val="13"/>
            <w:tabs>
              <w:tab w:val="right" w:leader="dot" w:pos="8674"/>
            </w:tabs>
            <w:rPr>
              <w:rFonts w:hint="eastAsia" w:ascii="宋体" w:hAnsi="宋体" w:eastAsia="宋体" w:cs="宋体"/>
            </w:rPr>
          </w:pPr>
          <w:r>
            <w:rPr>
              <w:rFonts w:hint="eastAsia" w:ascii="宋体" w:hAnsi="宋体" w:eastAsia="宋体" w:cs="宋体"/>
              <w:szCs w:val="28"/>
            </w:rPr>
            <w:fldChar w:fldCharType="begin"/>
          </w:r>
          <w:r>
            <w:rPr>
              <w:rFonts w:hint="eastAsia" w:ascii="宋体" w:hAnsi="宋体" w:eastAsia="宋体" w:cs="宋体"/>
              <w:szCs w:val="28"/>
            </w:rPr>
            <w:instrText xml:space="preserve"> HYPERLINK \l _Toc23697 </w:instrText>
          </w:r>
          <w:r>
            <w:rPr>
              <w:rFonts w:hint="eastAsia" w:ascii="宋体" w:hAnsi="宋体" w:eastAsia="宋体" w:cs="宋体"/>
              <w:szCs w:val="28"/>
            </w:rPr>
            <w:fldChar w:fldCharType="separate"/>
          </w:r>
          <w:r>
            <w:rPr>
              <w:rFonts w:hint="eastAsia" w:ascii="宋体" w:hAnsi="宋体" w:eastAsia="宋体" w:cs="宋体"/>
            </w:rPr>
            <w:t>五、 毕业生的创业情况</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_Toc23697 </w:instrText>
          </w:r>
          <w:r>
            <w:rPr>
              <w:rFonts w:hint="eastAsia" w:ascii="宋体" w:hAnsi="宋体" w:eastAsia="宋体" w:cs="宋体"/>
            </w:rPr>
            <w:fldChar w:fldCharType="separate"/>
          </w:r>
          <w:r>
            <w:rPr>
              <w:rFonts w:hint="eastAsia" w:ascii="宋体" w:hAnsi="宋体" w:eastAsia="宋体" w:cs="宋体"/>
            </w:rPr>
            <w:t>28</w:t>
          </w:r>
          <w:r>
            <w:rPr>
              <w:rFonts w:hint="eastAsia" w:ascii="宋体" w:hAnsi="宋体" w:eastAsia="宋体" w:cs="宋体"/>
            </w:rPr>
            <w:fldChar w:fldCharType="end"/>
          </w:r>
          <w:r>
            <w:rPr>
              <w:rFonts w:hint="eastAsia" w:ascii="宋体" w:hAnsi="宋体" w:eastAsia="宋体" w:cs="宋体"/>
              <w:szCs w:val="28"/>
            </w:rPr>
            <w:fldChar w:fldCharType="end"/>
          </w:r>
        </w:p>
        <w:p>
          <w:pPr>
            <w:pStyle w:val="9"/>
            <w:tabs>
              <w:tab w:val="right" w:leader="dot" w:pos="8674"/>
            </w:tabs>
            <w:rPr>
              <w:rFonts w:hint="eastAsia" w:ascii="宋体" w:hAnsi="宋体" w:eastAsia="宋体" w:cs="宋体"/>
            </w:rPr>
          </w:pPr>
          <w:r>
            <w:rPr>
              <w:rFonts w:hint="eastAsia" w:ascii="宋体" w:hAnsi="宋体" w:eastAsia="宋体" w:cs="宋体"/>
              <w:szCs w:val="28"/>
            </w:rPr>
            <w:fldChar w:fldCharType="begin"/>
          </w:r>
          <w:r>
            <w:rPr>
              <w:rFonts w:hint="eastAsia" w:ascii="宋体" w:hAnsi="宋体" w:eastAsia="宋体" w:cs="宋体"/>
              <w:szCs w:val="28"/>
            </w:rPr>
            <w:instrText xml:space="preserve"> HYPERLINK \l _Toc18824 </w:instrText>
          </w:r>
          <w:r>
            <w:rPr>
              <w:rFonts w:hint="eastAsia" w:ascii="宋体" w:hAnsi="宋体" w:eastAsia="宋体" w:cs="宋体"/>
              <w:szCs w:val="28"/>
            </w:rPr>
            <w:fldChar w:fldCharType="separate"/>
          </w:r>
          <w:r>
            <w:rPr>
              <w:rFonts w:hint="eastAsia" w:ascii="宋体" w:hAnsi="宋体" w:eastAsia="宋体" w:cs="宋体"/>
            </w:rPr>
            <w:t>（一） 毕业生</w:t>
          </w:r>
          <w:r>
            <w:rPr>
              <w:rFonts w:hint="eastAsia" w:ascii="宋体" w:hAnsi="宋体" w:eastAsia="宋体" w:cs="宋体"/>
              <w:lang w:eastAsia="zh-CN"/>
            </w:rPr>
            <w:t>的</w:t>
          </w:r>
          <w:r>
            <w:rPr>
              <w:rFonts w:hint="eastAsia" w:ascii="宋体" w:hAnsi="宋体" w:eastAsia="宋体" w:cs="宋体"/>
            </w:rPr>
            <w:t>自主创业比例</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_Toc18824 </w:instrText>
          </w:r>
          <w:r>
            <w:rPr>
              <w:rFonts w:hint="eastAsia" w:ascii="宋体" w:hAnsi="宋体" w:eastAsia="宋体" w:cs="宋体"/>
            </w:rPr>
            <w:fldChar w:fldCharType="separate"/>
          </w:r>
          <w:r>
            <w:rPr>
              <w:rFonts w:hint="eastAsia" w:ascii="宋体" w:hAnsi="宋体" w:eastAsia="宋体" w:cs="宋体"/>
            </w:rPr>
            <w:t>28</w:t>
          </w:r>
          <w:r>
            <w:rPr>
              <w:rFonts w:hint="eastAsia" w:ascii="宋体" w:hAnsi="宋体" w:eastAsia="宋体" w:cs="宋体"/>
            </w:rPr>
            <w:fldChar w:fldCharType="end"/>
          </w:r>
          <w:r>
            <w:rPr>
              <w:rFonts w:hint="eastAsia" w:ascii="宋体" w:hAnsi="宋体" w:eastAsia="宋体" w:cs="宋体"/>
              <w:szCs w:val="28"/>
            </w:rPr>
            <w:fldChar w:fldCharType="end"/>
          </w:r>
        </w:p>
        <w:p>
          <w:pPr>
            <w:pStyle w:val="9"/>
            <w:tabs>
              <w:tab w:val="right" w:leader="dot" w:pos="8674"/>
            </w:tabs>
            <w:rPr>
              <w:rFonts w:hint="eastAsia" w:ascii="宋体" w:hAnsi="宋体" w:eastAsia="宋体" w:cs="宋体"/>
            </w:rPr>
          </w:pPr>
          <w:r>
            <w:rPr>
              <w:rFonts w:hint="eastAsia" w:ascii="宋体" w:hAnsi="宋体" w:eastAsia="宋体" w:cs="宋体"/>
              <w:szCs w:val="28"/>
            </w:rPr>
            <w:fldChar w:fldCharType="begin"/>
          </w:r>
          <w:r>
            <w:rPr>
              <w:rFonts w:hint="eastAsia" w:ascii="宋体" w:hAnsi="宋体" w:eastAsia="宋体" w:cs="宋体"/>
              <w:szCs w:val="28"/>
            </w:rPr>
            <w:instrText xml:space="preserve"> HYPERLINK \l _Toc25275 </w:instrText>
          </w:r>
          <w:r>
            <w:rPr>
              <w:rFonts w:hint="eastAsia" w:ascii="宋体" w:hAnsi="宋体" w:eastAsia="宋体" w:cs="宋体"/>
              <w:szCs w:val="28"/>
            </w:rPr>
            <w:fldChar w:fldCharType="separate"/>
          </w:r>
          <w:r>
            <w:rPr>
              <w:rFonts w:hint="eastAsia" w:ascii="宋体" w:hAnsi="宋体" w:eastAsia="宋体" w:cs="宋体"/>
            </w:rPr>
            <w:t>（二） 毕业生自主创业集中的行业</w:t>
          </w:r>
          <w:r>
            <w:rPr>
              <w:rFonts w:hint="eastAsia" w:ascii="宋体" w:hAnsi="宋体" w:eastAsia="宋体" w:cs="宋体"/>
              <w:lang w:eastAsia="zh-CN"/>
            </w:rPr>
            <w:t>类</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_Toc25275 </w:instrText>
          </w:r>
          <w:r>
            <w:rPr>
              <w:rFonts w:hint="eastAsia" w:ascii="宋体" w:hAnsi="宋体" w:eastAsia="宋体" w:cs="宋体"/>
            </w:rPr>
            <w:fldChar w:fldCharType="separate"/>
          </w:r>
          <w:r>
            <w:rPr>
              <w:rFonts w:hint="eastAsia" w:ascii="宋体" w:hAnsi="宋体" w:eastAsia="宋体" w:cs="宋体"/>
            </w:rPr>
            <w:t>28</w:t>
          </w:r>
          <w:r>
            <w:rPr>
              <w:rFonts w:hint="eastAsia" w:ascii="宋体" w:hAnsi="宋体" w:eastAsia="宋体" w:cs="宋体"/>
            </w:rPr>
            <w:fldChar w:fldCharType="end"/>
          </w:r>
          <w:r>
            <w:rPr>
              <w:rFonts w:hint="eastAsia" w:ascii="宋体" w:hAnsi="宋体" w:eastAsia="宋体" w:cs="宋体"/>
              <w:szCs w:val="28"/>
            </w:rPr>
            <w:fldChar w:fldCharType="end"/>
          </w:r>
        </w:p>
        <w:p>
          <w:pPr>
            <w:pStyle w:val="13"/>
            <w:tabs>
              <w:tab w:val="right" w:leader="dot" w:pos="8674"/>
            </w:tabs>
            <w:rPr>
              <w:rFonts w:hint="eastAsia" w:ascii="宋体" w:hAnsi="宋体" w:eastAsia="宋体" w:cs="宋体"/>
            </w:rPr>
          </w:pPr>
          <w:r>
            <w:rPr>
              <w:rFonts w:hint="eastAsia" w:ascii="宋体" w:hAnsi="宋体" w:eastAsia="宋体" w:cs="宋体"/>
              <w:szCs w:val="28"/>
            </w:rPr>
            <w:fldChar w:fldCharType="begin"/>
          </w:r>
          <w:r>
            <w:rPr>
              <w:rFonts w:hint="eastAsia" w:ascii="宋体" w:hAnsi="宋体" w:eastAsia="宋体" w:cs="宋体"/>
              <w:szCs w:val="28"/>
            </w:rPr>
            <w:instrText xml:space="preserve"> HYPERLINK \l _Toc26894 </w:instrText>
          </w:r>
          <w:r>
            <w:rPr>
              <w:rFonts w:hint="eastAsia" w:ascii="宋体" w:hAnsi="宋体" w:eastAsia="宋体" w:cs="宋体"/>
              <w:szCs w:val="28"/>
            </w:rPr>
            <w:fldChar w:fldCharType="separate"/>
          </w:r>
          <w:r>
            <w:rPr>
              <w:rFonts w:hint="eastAsia" w:ascii="宋体" w:hAnsi="宋体" w:eastAsia="宋体" w:cs="宋体"/>
            </w:rPr>
            <w:t>六、 职业资格证书获得情况</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_Toc26894 </w:instrText>
          </w:r>
          <w:r>
            <w:rPr>
              <w:rFonts w:hint="eastAsia" w:ascii="宋体" w:hAnsi="宋体" w:eastAsia="宋体" w:cs="宋体"/>
            </w:rPr>
            <w:fldChar w:fldCharType="separate"/>
          </w:r>
          <w:r>
            <w:rPr>
              <w:rFonts w:hint="eastAsia" w:ascii="宋体" w:hAnsi="宋体" w:eastAsia="宋体" w:cs="宋体"/>
            </w:rPr>
            <w:t>29</w:t>
          </w:r>
          <w:r>
            <w:rPr>
              <w:rFonts w:hint="eastAsia" w:ascii="宋体" w:hAnsi="宋体" w:eastAsia="宋体" w:cs="宋体"/>
            </w:rPr>
            <w:fldChar w:fldCharType="end"/>
          </w:r>
          <w:r>
            <w:rPr>
              <w:rFonts w:hint="eastAsia" w:ascii="宋体" w:hAnsi="宋体" w:eastAsia="宋体" w:cs="宋体"/>
              <w:szCs w:val="28"/>
            </w:rPr>
            <w:fldChar w:fldCharType="end"/>
          </w:r>
        </w:p>
        <w:p>
          <w:pPr>
            <w:pStyle w:val="9"/>
            <w:tabs>
              <w:tab w:val="right" w:leader="dot" w:pos="8674"/>
            </w:tabs>
            <w:rPr>
              <w:rFonts w:hint="eastAsia" w:ascii="宋体" w:hAnsi="宋体" w:eastAsia="宋体" w:cs="宋体"/>
            </w:rPr>
          </w:pPr>
          <w:r>
            <w:rPr>
              <w:rFonts w:hint="eastAsia" w:ascii="宋体" w:hAnsi="宋体" w:eastAsia="宋体" w:cs="宋体"/>
              <w:szCs w:val="28"/>
            </w:rPr>
            <w:fldChar w:fldCharType="begin"/>
          </w:r>
          <w:r>
            <w:rPr>
              <w:rFonts w:hint="eastAsia" w:ascii="宋体" w:hAnsi="宋体" w:eastAsia="宋体" w:cs="宋体"/>
              <w:szCs w:val="28"/>
            </w:rPr>
            <w:instrText xml:space="preserve"> HYPERLINK \l _Toc18882 </w:instrText>
          </w:r>
          <w:r>
            <w:rPr>
              <w:rFonts w:hint="eastAsia" w:ascii="宋体" w:hAnsi="宋体" w:eastAsia="宋体" w:cs="宋体"/>
              <w:szCs w:val="28"/>
            </w:rPr>
            <w:fldChar w:fldCharType="separate"/>
          </w:r>
          <w:r>
            <w:rPr>
              <w:rFonts w:hint="eastAsia" w:ascii="宋体" w:hAnsi="宋体" w:eastAsia="宋体" w:cs="宋体"/>
            </w:rPr>
            <w:t>（一） 毕业生获得职业资格证书的比例</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_Toc18882 </w:instrText>
          </w:r>
          <w:r>
            <w:rPr>
              <w:rFonts w:hint="eastAsia" w:ascii="宋体" w:hAnsi="宋体" w:eastAsia="宋体" w:cs="宋体"/>
            </w:rPr>
            <w:fldChar w:fldCharType="separate"/>
          </w:r>
          <w:r>
            <w:rPr>
              <w:rFonts w:hint="eastAsia" w:ascii="宋体" w:hAnsi="宋体" w:eastAsia="宋体" w:cs="宋体"/>
            </w:rPr>
            <w:t>29</w:t>
          </w:r>
          <w:r>
            <w:rPr>
              <w:rFonts w:hint="eastAsia" w:ascii="宋体" w:hAnsi="宋体" w:eastAsia="宋体" w:cs="宋体"/>
            </w:rPr>
            <w:fldChar w:fldCharType="end"/>
          </w:r>
          <w:r>
            <w:rPr>
              <w:rFonts w:hint="eastAsia" w:ascii="宋体" w:hAnsi="宋体" w:eastAsia="宋体" w:cs="宋体"/>
              <w:szCs w:val="28"/>
            </w:rPr>
            <w:fldChar w:fldCharType="end"/>
          </w:r>
        </w:p>
        <w:p>
          <w:pPr>
            <w:pStyle w:val="9"/>
            <w:tabs>
              <w:tab w:val="right" w:leader="dot" w:pos="8674"/>
            </w:tabs>
            <w:rPr>
              <w:rFonts w:hint="eastAsia" w:ascii="宋体" w:hAnsi="宋体" w:eastAsia="宋体" w:cs="宋体"/>
            </w:rPr>
          </w:pPr>
          <w:r>
            <w:rPr>
              <w:rFonts w:hint="eastAsia" w:ascii="宋体" w:hAnsi="宋体" w:eastAsia="宋体" w:cs="宋体"/>
              <w:szCs w:val="28"/>
            </w:rPr>
            <w:fldChar w:fldCharType="begin"/>
          </w:r>
          <w:r>
            <w:rPr>
              <w:rFonts w:hint="eastAsia" w:ascii="宋体" w:hAnsi="宋体" w:eastAsia="宋体" w:cs="宋体"/>
              <w:szCs w:val="28"/>
            </w:rPr>
            <w:instrText xml:space="preserve"> HYPERLINK \l _Toc20557 </w:instrText>
          </w:r>
          <w:r>
            <w:rPr>
              <w:rFonts w:hint="eastAsia" w:ascii="宋体" w:hAnsi="宋体" w:eastAsia="宋体" w:cs="宋体"/>
              <w:szCs w:val="28"/>
            </w:rPr>
            <w:fldChar w:fldCharType="separate"/>
          </w:r>
          <w:r>
            <w:rPr>
              <w:rFonts w:hint="eastAsia" w:ascii="宋体" w:hAnsi="宋体" w:eastAsia="宋体" w:cs="宋体"/>
            </w:rPr>
            <w:t>（二） 各专业毕业生获得职业资格证书的比例</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_Toc20557 </w:instrText>
          </w:r>
          <w:r>
            <w:rPr>
              <w:rFonts w:hint="eastAsia" w:ascii="宋体" w:hAnsi="宋体" w:eastAsia="宋体" w:cs="宋体"/>
            </w:rPr>
            <w:fldChar w:fldCharType="separate"/>
          </w:r>
          <w:r>
            <w:rPr>
              <w:rFonts w:hint="eastAsia" w:ascii="宋体" w:hAnsi="宋体" w:eastAsia="宋体" w:cs="宋体"/>
            </w:rPr>
            <w:t>30</w:t>
          </w:r>
          <w:r>
            <w:rPr>
              <w:rFonts w:hint="eastAsia" w:ascii="宋体" w:hAnsi="宋体" w:eastAsia="宋体" w:cs="宋体"/>
            </w:rPr>
            <w:fldChar w:fldCharType="end"/>
          </w:r>
          <w:r>
            <w:rPr>
              <w:rFonts w:hint="eastAsia" w:ascii="宋体" w:hAnsi="宋体" w:eastAsia="宋体" w:cs="宋体"/>
              <w:szCs w:val="28"/>
            </w:rPr>
            <w:fldChar w:fldCharType="end"/>
          </w:r>
        </w:p>
        <w:p>
          <w:pPr>
            <w:pStyle w:val="13"/>
            <w:tabs>
              <w:tab w:val="right" w:leader="dot" w:pos="8674"/>
            </w:tabs>
            <w:rPr>
              <w:rFonts w:hint="eastAsia" w:ascii="宋体" w:hAnsi="宋体" w:eastAsia="宋体" w:cs="宋体"/>
            </w:rPr>
          </w:pPr>
          <w:r>
            <w:rPr>
              <w:rFonts w:hint="eastAsia" w:ascii="宋体" w:hAnsi="宋体" w:eastAsia="宋体" w:cs="宋体"/>
              <w:szCs w:val="28"/>
            </w:rPr>
            <w:fldChar w:fldCharType="begin"/>
          </w:r>
          <w:r>
            <w:rPr>
              <w:rFonts w:hint="eastAsia" w:ascii="宋体" w:hAnsi="宋体" w:eastAsia="宋体" w:cs="宋体"/>
              <w:szCs w:val="28"/>
            </w:rPr>
            <w:instrText xml:space="preserve"> HYPERLINK \l _Toc30628 </w:instrText>
          </w:r>
          <w:r>
            <w:rPr>
              <w:rFonts w:hint="eastAsia" w:ascii="宋体" w:hAnsi="宋体" w:eastAsia="宋体" w:cs="宋体"/>
              <w:szCs w:val="28"/>
            </w:rPr>
            <w:fldChar w:fldCharType="separate"/>
          </w:r>
          <w:r>
            <w:rPr>
              <w:rFonts w:hint="eastAsia" w:ascii="宋体" w:hAnsi="宋体" w:eastAsia="宋体" w:cs="宋体"/>
            </w:rPr>
            <w:t>七、 对就业指导服务情况的评价</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_Toc30628 </w:instrText>
          </w:r>
          <w:r>
            <w:rPr>
              <w:rFonts w:hint="eastAsia" w:ascii="宋体" w:hAnsi="宋体" w:eastAsia="宋体" w:cs="宋体"/>
            </w:rPr>
            <w:fldChar w:fldCharType="separate"/>
          </w:r>
          <w:r>
            <w:rPr>
              <w:rFonts w:hint="eastAsia" w:ascii="宋体" w:hAnsi="宋体" w:eastAsia="宋体" w:cs="宋体"/>
            </w:rPr>
            <w:t>32</w:t>
          </w:r>
          <w:r>
            <w:rPr>
              <w:rFonts w:hint="eastAsia" w:ascii="宋体" w:hAnsi="宋体" w:eastAsia="宋体" w:cs="宋体"/>
            </w:rPr>
            <w:fldChar w:fldCharType="end"/>
          </w:r>
          <w:r>
            <w:rPr>
              <w:rFonts w:hint="eastAsia" w:ascii="宋体" w:hAnsi="宋体" w:eastAsia="宋体" w:cs="宋体"/>
              <w:szCs w:val="28"/>
            </w:rPr>
            <w:fldChar w:fldCharType="end"/>
          </w:r>
        </w:p>
        <w:p>
          <w:pPr>
            <w:pStyle w:val="9"/>
            <w:tabs>
              <w:tab w:val="right" w:leader="dot" w:pos="8674"/>
            </w:tabs>
            <w:rPr>
              <w:rFonts w:hint="eastAsia" w:ascii="宋体" w:hAnsi="宋体" w:eastAsia="宋体" w:cs="宋体"/>
            </w:rPr>
          </w:pPr>
          <w:r>
            <w:rPr>
              <w:rFonts w:hint="eastAsia" w:ascii="宋体" w:hAnsi="宋体" w:eastAsia="宋体" w:cs="宋体"/>
              <w:szCs w:val="28"/>
            </w:rPr>
            <w:fldChar w:fldCharType="begin"/>
          </w:r>
          <w:r>
            <w:rPr>
              <w:rFonts w:hint="eastAsia" w:ascii="宋体" w:hAnsi="宋体" w:eastAsia="宋体" w:cs="宋体"/>
              <w:szCs w:val="28"/>
            </w:rPr>
            <w:instrText xml:space="preserve"> HYPERLINK \l _Toc29162 </w:instrText>
          </w:r>
          <w:r>
            <w:rPr>
              <w:rFonts w:hint="eastAsia" w:ascii="宋体" w:hAnsi="宋体" w:eastAsia="宋体" w:cs="宋体"/>
              <w:szCs w:val="28"/>
            </w:rPr>
            <w:fldChar w:fldCharType="separate"/>
          </w:r>
          <w:r>
            <w:rPr>
              <w:rFonts w:hint="eastAsia" w:ascii="宋体" w:hAnsi="宋体" w:eastAsia="宋体" w:cs="宋体"/>
            </w:rPr>
            <w:t>（一） 就业指导服务总体满意度</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_Toc29162 </w:instrText>
          </w:r>
          <w:r>
            <w:rPr>
              <w:rFonts w:hint="eastAsia" w:ascii="宋体" w:hAnsi="宋体" w:eastAsia="宋体" w:cs="宋体"/>
            </w:rPr>
            <w:fldChar w:fldCharType="separate"/>
          </w:r>
          <w:r>
            <w:rPr>
              <w:rFonts w:hint="eastAsia" w:ascii="宋体" w:hAnsi="宋体" w:eastAsia="宋体" w:cs="宋体"/>
            </w:rPr>
            <w:t>32</w:t>
          </w:r>
          <w:r>
            <w:rPr>
              <w:rFonts w:hint="eastAsia" w:ascii="宋体" w:hAnsi="宋体" w:eastAsia="宋体" w:cs="宋体"/>
            </w:rPr>
            <w:fldChar w:fldCharType="end"/>
          </w:r>
          <w:r>
            <w:rPr>
              <w:rFonts w:hint="eastAsia" w:ascii="宋体" w:hAnsi="宋体" w:eastAsia="宋体" w:cs="宋体"/>
              <w:szCs w:val="28"/>
            </w:rPr>
            <w:fldChar w:fldCharType="end"/>
          </w:r>
        </w:p>
        <w:p>
          <w:pPr>
            <w:pStyle w:val="9"/>
            <w:tabs>
              <w:tab w:val="right" w:leader="dot" w:pos="8674"/>
            </w:tabs>
            <w:rPr>
              <w:rFonts w:hint="eastAsia" w:ascii="宋体" w:hAnsi="宋体" w:eastAsia="宋体" w:cs="宋体"/>
            </w:rPr>
          </w:pPr>
          <w:r>
            <w:rPr>
              <w:rFonts w:hint="eastAsia" w:ascii="宋体" w:hAnsi="宋体" w:eastAsia="宋体" w:cs="宋体"/>
              <w:szCs w:val="28"/>
            </w:rPr>
            <w:fldChar w:fldCharType="begin"/>
          </w:r>
          <w:r>
            <w:rPr>
              <w:rFonts w:hint="eastAsia" w:ascii="宋体" w:hAnsi="宋体" w:eastAsia="宋体" w:cs="宋体"/>
              <w:szCs w:val="28"/>
            </w:rPr>
            <w:instrText xml:space="preserve"> HYPERLINK \l _Toc3748 </w:instrText>
          </w:r>
          <w:r>
            <w:rPr>
              <w:rFonts w:hint="eastAsia" w:ascii="宋体" w:hAnsi="宋体" w:eastAsia="宋体" w:cs="宋体"/>
              <w:szCs w:val="28"/>
            </w:rPr>
            <w:fldChar w:fldCharType="separate"/>
          </w:r>
          <w:r>
            <w:rPr>
              <w:rFonts w:hint="eastAsia" w:ascii="宋体" w:hAnsi="宋体" w:eastAsia="宋体" w:cs="宋体"/>
            </w:rPr>
            <w:t>（二） 各院系毕业生对就业指导服务的评价</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_Toc3748 </w:instrText>
          </w:r>
          <w:r>
            <w:rPr>
              <w:rFonts w:hint="eastAsia" w:ascii="宋体" w:hAnsi="宋体" w:eastAsia="宋体" w:cs="宋体"/>
            </w:rPr>
            <w:fldChar w:fldCharType="separate"/>
          </w:r>
          <w:r>
            <w:rPr>
              <w:rFonts w:hint="eastAsia" w:ascii="宋体" w:hAnsi="宋体" w:eastAsia="宋体" w:cs="宋体"/>
            </w:rPr>
            <w:t>33</w:t>
          </w:r>
          <w:r>
            <w:rPr>
              <w:rFonts w:hint="eastAsia" w:ascii="宋体" w:hAnsi="宋体" w:eastAsia="宋体" w:cs="宋体"/>
            </w:rPr>
            <w:fldChar w:fldCharType="end"/>
          </w:r>
          <w:r>
            <w:rPr>
              <w:rFonts w:hint="eastAsia" w:ascii="宋体" w:hAnsi="宋体" w:eastAsia="宋体" w:cs="宋体"/>
              <w:szCs w:val="28"/>
            </w:rPr>
            <w:fldChar w:fldCharType="end"/>
          </w:r>
        </w:p>
        <w:p>
          <w:pPr>
            <w:pStyle w:val="9"/>
            <w:tabs>
              <w:tab w:val="right" w:leader="dot" w:pos="8674"/>
            </w:tabs>
            <w:rPr>
              <w:rFonts w:hint="eastAsia" w:ascii="宋体" w:hAnsi="宋体" w:eastAsia="宋体" w:cs="宋体"/>
            </w:rPr>
          </w:pPr>
          <w:r>
            <w:rPr>
              <w:rFonts w:hint="eastAsia" w:ascii="宋体" w:hAnsi="宋体" w:eastAsia="宋体" w:cs="宋体"/>
              <w:szCs w:val="28"/>
            </w:rPr>
            <w:fldChar w:fldCharType="begin"/>
          </w:r>
          <w:r>
            <w:rPr>
              <w:rFonts w:hint="eastAsia" w:ascii="宋体" w:hAnsi="宋体" w:eastAsia="宋体" w:cs="宋体"/>
              <w:szCs w:val="28"/>
            </w:rPr>
            <w:instrText xml:space="preserve"> HYPERLINK \l _Toc16517 </w:instrText>
          </w:r>
          <w:r>
            <w:rPr>
              <w:rFonts w:hint="eastAsia" w:ascii="宋体" w:hAnsi="宋体" w:eastAsia="宋体" w:cs="宋体"/>
              <w:szCs w:val="28"/>
            </w:rPr>
            <w:fldChar w:fldCharType="separate"/>
          </w:r>
          <w:r>
            <w:rPr>
              <w:rFonts w:hint="eastAsia" w:ascii="宋体" w:hAnsi="宋体" w:eastAsia="宋体" w:cs="宋体"/>
            </w:rPr>
            <w:t>（三） 各项就业指导服务开展情况及毕业生的评价情况</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_Toc16517 </w:instrText>
          </w:r>
          <w:r>
            <w:rPr>
              <w:rFonts w:hint="eastAsia" w:ascii="宋体" w:hAnsi="宋体" w:eastAsia="宋体" w:cs="宋体"/>
            </w:rPr>
            <w:fldChar w:fldCharType="separate"/>
          </w:r>
          <w:r>
            <w:rPr>
              <w:rFonts w:hint="eastAsia" w:ascii="宋体" w:hAnsi="宋体" w:eastAsia="宋体" w:cs="宋体"/>
            </w:rPr>
            <w:t>34</w:t>
          </w:r>
          <w:r>
            <w:rPr>
              <w:rFonts w:hint="eastAsia" w:ascii="宋体" w:hAnsi="宋体" w:eastAsia="宋体" w:cs="宋体"/>
            </w:rPr>
            <w:fldChar w:fldCharType="end"/>
          </w:r>
          <w:r>
            <w:rPr>
              <w:rFonts w:hint="eastAsia" w:ascii="宋体" w:hAnsi="宋体" w:eastAsia="宋体" w:cs="宋体"/>
              <w:szCs w:val="28"/>
            </w:rPr>
            <w:fldChar w:fldCharType="end"/>
          </w:r>
        </w:p>
        <w:p>
          <w:pPr>
            <w:pStyle w:val="13"/>
            <w:tabs>
              <w:tab w:val="right" w:leader="dot" w:pos="8674"/>
            </w:tabs>
            <w:rPr>
              <w:rFonts w:hint="eastAsia" w:ascii="宋体" w:hAnsi="宋体" w:eastAsia="宋体" w:cs="宋体"/>
            </w:rPr>
          </w:pPr>
          <w:r>
            <w:rPr>
              <w:rFonts w:hint="eastAsia" w:ascii="宋体" w:hAnsi="宋体" w:eastAsia="宋体" w:cs="宋体"/>
              <w:szCs w:val="28"/>
            </w:rPr>
            <w:fldChar w:fldCharType="begin"/>
          </w:r>
          <w:r>
            <w:rPr>
              <w:rFonts w:hint="eastAsia" w:ascii="宋体" w:hAnsi="宋体" w:eastAsia="宋体" w:cs="宋体"/>
              <w:szCs w:val="28"/>
            </w:rPr>
            <w:instrText xml:space="preserve"> HYPERLINK \l _Toc21155 </w:instrText>
          </w:r>
          <w:r>
            <w:rPr>
              <w:rFonts w:hint="eastAsia" w:ascii="宋体" w:hAnsi="宋体" w:eastAsia="宋体" w:cs="宋体"/>
              <w:szCs w:val="28"/>
            </w:rPr>
            <w:fldChar w:fldCharType="separate"/>
          </w:r>
          <w:r>
            <w:rPr>
              <w:rFonts w:hint="eastAsia" w:ascii="宋体" w:hAnsi="宋体" w:eastAsia="宋体" w:cs="宋体"/>
            </w:rPr>
            <w:t>八、 创新创业教育情况</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_Toc21155 </w:instrText>
          </w:r>
          <w:r>
            <w:rPr>
              <w:rFonts w:hint="eastAsia" w:ascii="宋体" w:hAnsi="宋体" w:eastAsia="宋体" w:cs="宋体"/>
            </w:rPr>
            <w:fldChar w:fldCharType="separate"/>
          </w:r>
          <w:r>
            <w:rPr>
              <w:rFonts w:hint="eastAsia" w:ascii="宋体" w:hAnsi="宋体" w:eastAsia="宋体" w:cs="宋体"/>
            </w:rPr>
            <w:t>35</w:t>
          </w:r>
          <w:r>
            <w:rPr>
              <w:rFonts w:hint="eastAsia" w:ascii="宋体" w:hAnsi="宋体" w:eastAsia="宋体" w:cs="宋体"/>
            </w:rPr>
            <w:fldChar w:fldCharType="end"/>
          </w:r>
          <w:r>
            <w:rPr>
              <w:rFonts w:hint="eastAsia" w:ascii="宋体" w:hAnsi="宋体" w:eastAsia="宋体" w:cs="宋体"/>
              <w:szCs w:val="28"/>
            </w:rPr>
            <w:fldChar w:fldCharType="end"/>
          </w:r>
        </w:p>
        <w:p>
          <w:pPr>
            <w:pStyle w:val="9"/>
            <w:tabs>
              <w:tab w:val="right" w:leader="dot" w:pos="8674"/>
            </w:tabs>
            <w:rPr>
              <w:rFonts w:hint="eastAsia" w:ascii="宋体" w:hAnsi="宋体" w:eastAsia="宋体" w:cs="宋体"/>
            </w:rPr>
          </w:pPr>
          <w:r>
            <w:rPr>
              <w:rFonts w:hint="eastAsia" w:ascii="宋体" w:hAnsi="宋体" w:eastAsia="宋体" w:cs="宋体"/>
              <w:szCs w:val="28"/>
            </w:rPr>
            <w:fldChar w:fldCharType="begin"/>
          </w:r>
          <w:r>
            <w:rPr>
              <w:rFonts w:hint="eastAsia" w:ascii="宋体" w:hAnsi="宋体" w:eastAsia="宋体" w:cs="宋体"/>
              <w:szCs w:val="28"/>
            </w:rPr>
            <w:instrText xml:space="preserve"> HYPERLINK \l _Toc9523 </w:instrText>
          </w:r>
          <w:r>
            <w:rPr>
              <w:rFonts w:hint="eastAsia" w:ascii="宋体" w:hAnsi="宋体" w:eastAsia="宋体" w:cs="宋体"/>
              <w:szCs w:val="28"/>
            </w:rPr>
            <w:fldChar w:fldCharType="separate"/>
          </w:r>
          <w:r>
            <w:rPr>
              <w:rFonts w:hint="eastAsia" w:ascii="宋体" w:hAnsi="宋体" w:eastAsia="宋体" w:cs="宋体"/>
            </w:rPr>
            <w:t>（一） 创新创业教育开展效果评价</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_Toc9523 </w:instrText>
          </w:r>
          <w:r>
            <w:rPr>
              <w:rFonts w:hint="eastAsia" w:ascii="宋体" w:hAnsi="宋体" w:eastAsia="宋体" w:cs="宋体"/>
            </w:rPr>
            <w:fldChar w:fldCharType="separate"/>
          </w:r>
          <w:r>
            <w:rPr>
              <w:rFonts w:hint="eastAsia" w:ascii="宋体" w:hAnsi="宋体" w:eastAsia="宋体" w:cs="宋体"/>
            </w:rPr>
            <w:t>35</w:t>
          </w:r>
          <w:r>
            <w:rPr>
              <w:rFonts w:hint="eastAsia" w:ascii="宋体" w:hAnsi="宋体" w:eastAsia="宋体" w:cs="宋体"/>
            </w:rPr>
            <w:fldChar w:fldCharType="end"/>
          </w:r>
          <w:r>
            <w:rPr>
              <w:rFonts w:hint="eastAsia" w:ascii="宋体" w:hAnsi="宋体" w:eastAsia="宋体" w:cs="宋体"/>
              <w:szCs w:val="28"/>
            </w:rPr>
            <w:fldChar w:fldCharType="end"/>
          </w:r>
        </w:p>
        <w:p>
          <w:pPr>
            <w:pStyle w:val="9"/>
            <w:tabs>
              <w:tab w:val="right" w:leader="dot" w:pos="8674"/>
            </w:tabs>
            <w:rPr>
              <w:rFonts w:hint="eastAsia" w:ascii="宋体" w:hAnsi="宋体" w:eastAsia="宋体" w:cs="宋体"/>
            </w:rPr>
          </w:pPr>
          <w:r>
            <w:rPr>
              <w:rFonts w:hint="eastAsia" w:ascii="宋体" w:hAnsi="宋体" w:eastAsia="宋体" w:cs="宋体"/>
              <w:szCs w:val="28"/>
            </w:rPr>
            <w:fldChar w:fldCharType="begin"/>
          </w:r>
          <w:r>
            <w:rPr>
              <w:rFonts w:hint="eastAsia" w:ascii="宋体" w:hAnsi="宋体" w:eastAsia="宋体" w:cs="宋体"/>
              <w:szCs w:val="28"/>
            </w:rPr>
            <w:instrText xml:space="preserve"> HYPERLINK \l _Toc21047 </w:instrText>
          </w:r>
          <w:r>
            <w:rPr>
              <w:rFonts w:hint="eastAsia" w:ascii="宋体" w:hAnsi="宋体" w:eastAsia="宋体" w:cs="宋体"/>
              <w:szCs w:val="28"/>
            </w:rPr>
            <w:fldChar w:fldCharType="separate"/>
          </w:r>
          <w:r>
            <w:rPr>
              <w:rFonts w:hint="eastAsia" w:ascii="宋体" w:hAnsi="宋体" w:eastAsia="宋体" w:cs="宋体"/>
            </w:rPr>
            <w:t>（二） 创业教育对毕业生创业能力、知识和素养方面的影响</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_Toc21047 </w:instrText>
          </w:r>
          <w:r>
            <w:rPr>
              <w:rFonts w:hint="eastAsia" w:ascii="宋体" w:hAnsi="宋体" w:eastAsia="宋体" w:cs="宋体"/>
            </w:rPr>
            <w:fldChar w:fldCharType="separate"/>
          </w:r>
          <w:r>
            <w:rPr>
              <w:rFonts w:hint="eastAsia" w:ascii="宋体" w:hAnsi="宋体" w:eastAsia="宋体" w:cs="宋体"/>
            </w:rPr>
            <w:t>37</w:t>
          </w:r>
          <w:r>
            <w:rPr>
              <w:rFonts w:hint="eastAsia" w:ascii="宋体" w:hAnsi="宋体" w:eastAsia="宋体" w:cs="宋体"/>
            </w:rPr>
            <w:fldChar w:fldCharType="end"/>
          </w:r>
          <w:r>
            <w:rPr>
              <w:rFonts w:hint="eastAsia" w:ascii="宋体" w:hAnsi="宋体" w:eastAsia="宋体" w:cs="宋体"/>
              <w:szCs w:val="28"/>
            </w:rPr>
            <w:fldChar w:fldCharType="end"/>
          </w:r>
        </w:p>
        <w:p>
          <w:pPr>
            <w:pStyle w:val="12"/>
            <w:tabs>
              <w:tab w:val="right" w:leader="dot" w:pos="8674"/>
            </w:tabs>
            <w:rPr>
              <w:rFonts w:hint="eastAsia" w:ascii="宋体" w:hAnsi="宋体" w:eastAsia="宋体" w:cs="宋体"/>
            </w:rPr>
          </w:pPr>
          <w:r>
            <w:rPr>
              <w:rFonts w:hint="eastAsia" w:ascii="宋体" w:hAnsi="宋体" w:eastAsia="宋体" w:cs="宋体"/>
              <w:szCs w:val="28"/>
            </w:rPr>
            <w:fldChar w:fldCharType="begin"/>
          </w:r>
          <w:r>
            <w:rPr>
              <w:rFonts w:hint="eastAsia" w:ascii="宋体" w:hAnsi="宋体" w:eastAsia="宋体" w:cs="宋体"/>
              <w:szCs w:val="28"/>
            </w:rPr>
            <w:instrText xml:space="preserve"> HYPERLINK \l _Toc24255 </w:instrText>
          </w:r>
          <w:r>
            <w:rPr>
              <w:rFonts w:hint="eastAsia" w:ascii="宋体" w:hAnsi="宋体" w:eastAsia="宋体" w:cs="宋体"/>
              <w:szCs w:val="28"/>
            </w:rPr>
            <w:fldChar w:fldCharType="separate"/>
          </w:r>
          <w:r>
            <w:rPr>
              <w:rFonts w:hint="eastAsia" w:ascii="宋体" w:hAnsi="宋体" w:eastAsia="宋体" w:cs="宋体"/>
            </w:rPr>
            <w:t>第二章 就业相关分析</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_Toc24255 </w:instrText>
          </w:r>
          <w:r>
            <w:rPr>
              <w:rFonts w:hint="eastAsia" w:ascii="宋体" w:hAnsi="宋体" w:eastAsia="宋体" w:cs="宋体"/>
            </w:rPr>
            <w:fldChar w:fldCharType="separate"/>
          </w:r>
          <w:r>
            <w:rPr>
              <w:rFonts w:hint="eastAsia" w:ascii="宋体" w:hAnsi="宋体" w:eastAsia="宋体" w:cs="宋体"/>
            </w:rPr>
            <w:t>38</w:t>
          </w:r>
          <w:r>
            <w:rPr>
              <w:rFonts w:hint="eastAsia" w:ascii="宋体" w:hAnsi="宋体" w:eastAsia="宋体" w:cs="宋体"/>
            </w:rPr>
            <w:fldChar w:fldCharType="end"/>
          </w:r>
          <w:r>
            <w:rPr>
              <w:rFonts w:hint="eastAsia" w:ascii="宋体" w:hAnsi="宋体" w:eastAsia="宋体" w:cs="宋体"/>
              <w:szCs w:val="28"/>
            </w:rPr>
            <w:fldChar w:fldCharType="end"/>
          </w:r>
        </w:p>
        <w:p>
          <w:pPr>
            <w:pStyle w:val="13"/>
            <w:tabs>
              <w:tab w:val="right" w:leader="dot" w:pos="8674"/>
            </w:tabs>
            <w:rPr>
              <w:rFonts w:hint="eastAsia" w:ascii="宋体" w:hAnsi="宋体" w:eastAsia="宋体" w:cs="宋体"/>
            </w:rPr>
          </w:pPr>
          <w:r>
            <w:rPr>
              <w:rFonts w:hint="eastAsia" w:ascii="宋体" w:hAnsi="宋体" w:eastAsia="宋体" w:cs="宋体"/>
              <w:szCs w:val="28"/>
            </w:rPr>
            <w:fldChar w:fldCharType="begin"/>
          </w:r>
          <w:r>
            <w:rPr>
              <w:rFonts w:hint="eastAsia" w:ascii="宋体" w:hAnsi="宋体" w:eastAsia="宋体" w:cs="宋体"/>
              <w:szCs w:val="28"/>
            </w:rPr>
            <w:instrText xml:space="preserve"> HYPERLINK \l _Toc14689 </w:instrText>
          </w:r>
          <w:r>
            <w:rPr>
              <w:rFonts w:hint="eastAsia" w:ascii="宋体" w:hAnsi="宋体" w:eastAsia="宋体" w:cs="宋体"/>
              <w:szCs w:val="28"/>
            </w:rPr>
            <w:fldChar w:fldCharType="separate"/>
          </w:r>
          <w:r>
            <w:rPr>
              <w:rFonts w:hint="eastAsia" w:ascii="宋体" w:hAnsi="宋体" w:eastAsia="宋体" w:cs="宋体"/>
            </w:rPr>
            <w:t>一、 收入分析</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_Toc14689 </w:instrText>
          </w:r>
          <w:r>
            <w:rPr>
              <w:rFonts w:hint="eastAsia" w:ascii="宋体" w:hAnsi="宋体" w:eastAsia="宋体" w:cs="宋体"/>
            </w:rPr>
            <w:fldChar w:fldCharType="separate"/>
          </w:r>
          <w:r>
            <w:rPr>
              <w:rFonts w:hint="eastAsia" w:ascii="宋体" w:hAnsi="宋体" w:eastAsia="宋体" w:cs="宋体"/>
            </w:rPr>
            <w:t>38</w:t>
          </w:r>
          <w:r>
            <w:rPr>
              <w:rFonts w:hint="eastAsia" w:ascii="宋体" w:hAnsi="宋体" w:eastAsia="宋体" w:cs="宋体"/>
            </w:rPr>
            <w:fldChar w:fldCharType="end"/>
          </w:r>
          <w:r>
            <w:rPr>
              <w:rFonts w:hint="eastAsia" w:ascii="宋体" w:hAnsi="宋体" w:eastAsia="宋体" w:cs="宋体"/>
              <w:szCs w:val="28"/>
            </w:rPr>
            <w:fldChar w:fldCharType="end"/>
          </w:r>
        </w:p>
        <w:p>
          <w:pPr>
            <w:pStyle w:val="9"/>
            <w:tabs>
              <w:tab w:val="right" w:leader="dot" w:pos="8674"/>
            </w:tabs>
            <w:rPr>
              <w:rFonts w:hint="eastAsia" w:ascii="宋体" w:hAnsi="宋体" w:eastAsia="宋体" w:cs="宋体"/>
            </w:rPr>
          </w:pPr>
          <w:r>
            <w:rPr>
              <w:rFonts w:hint="eastAsia" w:ascii="宋体" w:hAnsi="宋体" w:eastAsia="宋体" w:cs="宋体"/>
              <w:szCs w:val="28"/>
            </w:rPr>
            <w:fldChar w:fldCharType="begin"/>
          </w:r>
          <w:r>
            <w:rPr>
              <w:rFonts w:hint="eastAsia" w:ascii="宋体" w:hAnsi="宋体" w:eastAsia="宋体" w:cs="宋体"/>
              <w:szCs w:val="28"/>
            </w:rPr>
            <w:instrText xml:space="preserve"> HYPERLINK \l _Toc14331 </w:instrText>
          </w:r>
          <w:r>
            <w:rPr>
              <w:rFonts w:hint="eastAsia" w:ascii="宋体" w:hAnsi="宋体" w:eastAsia="宋体" w:cs="宋体"/>
              <w:szCs w:val="28"/>
            </w:rPr>
            <w:fldChar w:fldCharType="separate"/>
          </w:r>
          <w:r>
            <w:rPr>
              <w:rFonts w:hint="eastAsia" w:ascii="宋体" w:hAnsi="宋体" w:eastAsia="宋体" w:cs="宋体"/>
            </w:rPr>
            <w:t>（一） 毕业生的月收入</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_Toc14331 </w:instrText>
          </w:r>
          <w:r>
            <w:rPr>
              <w:rFonts w:hint="eastAsia" w:ascii="宋体" w:hAnsi="宋体" w:eastAsia="宋体" w:cs="宋体"/>
            </w:rPr>
            <w:fldChar w:fldCharType="separate"/>
          </w:r>
          <w:r>
            <w:rPr>
              <w:rFonts w:hint="eastAsia" w:ascii="宋体" w:hAnsi="宋体" w:eastAsia="宋体" w:cs="宋体"/>
            </w:rPr>
            <w:t>38</w:t>
          </w:r>
          <w:r>
            <w:rPr>
              <w:rFonts w:hint="eastAsia" w:ascii="宋体" w:hAnsi="宋体" w:eastAsia="宋体" w:cs="宋体"/>
            </w:rPr>
            <w:fldChar w:fldCharType="end"/>
          </w:r>
          <w:r>
            <w:rPr>
              <w:rFonts w:hint="eastAsia" w:ascii="宋体" w:hAnsi="宋体" w:eastAsia="宋体" w:cs="宋体"/>
              <w:szCs w:val="28"/>
            </w:rPr>
            <w:fldChar w:fldCharType="end"/>
          </w:r>
        </w:p>
        <w:p>
          <w:pPr>
            <w:pStyle w:val="9"/>
            <w:tabs>
              <w:tab w:val="right" w:leader="dot" w:pos="8674"/>
            </w:tabs>
            <w:rPr>
              <w:rFonts w:hint="eastAsia" w:ascii="宋体" w:hAnsi="宋体" w:eastAsia="宋体" w:cs="宋体"/>
            </w:rPr>
          </w:pPr>
          <w:r>
            <w:rPr>
              <w:rFonts w:hint="eastAsia" w:ascii="宋体" w:hAnsi="宋体" w:eastAsia="宋体" w:cs="宋体"/>
              <w:szCs w:val="28"/>
            </w:rPr>
            <w:fldChar w:fldCharType="begin"/>
          </w:r>
          <w:r>
            <w:rPr>
              <w:rFonts w:hint="eastAsia" w:ascii="宋体" w:hAnsi="宋体" w:eastAsia="宋体" w:cs="宋体"/>
              <w:szCs w:val="28"/>
            </w:rPr>
            <w:instrText xml:space="preserve"> HYPERLINK \l _Toc8984 </w:instrText>
          </w:r>
          <w:r>
            <w:rPr>
              <w:rFonts w:hint="eastAsia" w:ascii="宋体" w:hAnsi="宋体" w:eastAsia="宋体" w:cs="宋体"/>
              <w:szCs w:val="28"/>
            </w:rPr>
            <w:fldChar w:fldCharType="separate"/>
          </w:r>
          <w:r>
            <w:rPr>
              <w:rFonts w:hint="eastAsia" w:ascii="宋体" w:hAnsi="宋体" w:eastAsia="宋体" w:cs="宋体"/>
            </w:rPr>
            <w:t>（二） 各院系及专业</w:t>
          </w:r>
          <w:r>
            <w:rPr>
              <w:rFonts w:hint="eastAsia" w:ascii="宋体" w:hAnsi="宋体" w:eastAsia="宋体" w:cs="宋体"/>
              <w:lang w:eastAsia="zh-CN"/>
            </w:rPr>
            <w:t>毕业生</w:t>
          </w:r>
          <w:r>
            <w:rPr>
              <w:rFonts w:hint="eastAsia" w:ascii="宋体" w:hAnsi="宋体" w:eastAsia="宋体" w:cs="宋体"/>
            </w:rPr>
            <w:t>的月收入</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_Toc8984 </w:instrText>
          </w:r>
          <w:r>
            <w:rPr>
              <w:rFonts w:hint="eastAsia" w:ascii="宋体" w:hAnsi="宋体" w:eastAsia="宋体" w:cs="宋体"/>
            </w:rPr>
            <w:fldChar w:fldCharType="separate"/>
          </w:r>
          <w:r>
            <w:rPr>
              <w:rFonts w:hint="eastAsia" w:ascii="宋体" w:hAnsi="宋体" w:eastAsia="宋体" w:cs="宋体"/>
            </w:rPr>
            <w:t>39</w:t>
          </w:r>
          <w:r>
            <w:rPr>
              <w:rFonts w:hint="eastAsia" w:ascii="宋体" w:hAnsi="宋体" w:eastAsia="宋体" w:cs="宋体"/>
            </w:rPr>
            <w:fldChar w:fldCharType="end"/>
          </w:r>
          <w:r>
            <w:rPr>
              <w:rFonts w:hint="eastAsia" w:ascii="宋体" w:hAnsi="宋体" w:eastAsia="宋体" w:cs="宋体"/>
              <w:szCs w:val="28"/>
            </w:rPr>
            <w:fldChar w:fldCharType="end"/>
          </w:r>
        </w:p>
        <w:p>
          <w:pPr>
            <w:pStyle w:val="13"/>
            <w:tabs>
              <w:tab w:val="right" w:leader="dot" w:pos="8674"/>
            </w:tabs>
            <w:rPr>
              <w:rFonts w:hint="eastAsia" w:ascii="宋体" w:hAnsi="宋体" w:eastAsia="宋体" w:cs="宋体"/>
            </w:rPr>
          </w:pPr>
          <w:r>
            <w:rPr>
              <w:rFonts w:hint="eastAsia" w:ascii="宋体" w:hAnsi="宋体" w:eastAsia="宋体" w:cs="宋体"/>
              <w:szCs w:val="28"/>
            </w:rPr>
            <w:fldChar w:fldCharType="begin"/>
          </w:r>
          <w:r>
            <w:rPr>
              <w:rFonts w:hint="eastAsia" w:ascii="宋体" w:hAnsi="宋体" w:eastAsia="宋体" w:cs="宋体"/>
              <w:szCs w:val="28"/>
            </w:rPr>
            <w:instrText xml:space="preserve"> HYPERLINK \l _Toc13747 </w:instrText>
          </w:r>
          <w:r>
            <w:rPr>
              <w:rFonts w:hint="eastAsia" w:ascii="宋体" w:hAnsi="宋体" w:eastAsia="宋体" w:cs="宋体"/>
              <w:szCs w:val="28"/>
            </w:rPr>
            <w:fldChar w:fldCharType="separate"/>
          </w:r>
          <w:r>
            <w:rPr>
              <w:rFonts w:hint="eastAsia" w:ascii="宋体" w:hAnsi="宋体" w:eastAsia="宋体" w:cs="宋体"/>
            </w:rPr>
            <w:t>二、 专业相关度</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_Toc13747 </w:instrText>
          </w:r>
          <w:r>
            <w:rPr>
              <w:rFonts w:hint="eastAsia" w:ascii="宋体" w:hAnsi="宋体" w:eastAsia="宋体" w:cs="宋体"/>
            </w:rPr>
            <w:fldChar w:fldCharType="separate"/>
          </w:r>
          <w:r>
            <w:rPr>
              <w:rFonts w:hint="eastAsia" w:ascii="宋体" w:hAnsi="宋体" w:eastAsia="宋体" w:cs="宋体"/>
            </w:rPr>
            <w:t>42</w:t>
          </w:r>
          <w:r>
            <w:rPr>
              <w:rFonts w:hint="eastAsia" w:ascii="宋体" w:hAnsi="宋体" w:eastAsia="宋体" w:cs="宋体"/>
            </w:rPr>
            <w:fldChar w:fldCharType="end"/>
          </w:r>
          <w:r>
            <w:rPr>
              <w:rFonts w:hint="eastAsia" w:ascii="宋体" w:hAnsi="宋体" w:eastAsia="宋体" w:cs="宋体"/>
              <w:szCs w:val="28"/>
            </w:rPr>
            <w:fldChar w:fldCharType="end"/>
          </w:r>
        </w:p>
        <w:p>
          <w:pPr>
            <w:pStyle w:val="9"/>
            <w:tabs>
              <w:tab w:val="right" w:leader="dot" w:pos="8674"/>
            </w:tabs>
            <w:rPr>
              <w:rFonts w:hint="eastAsia" w:ascii="宋体" w:hAnsi="宋体" w:eastAsia="宋体" w:cs="宋体"/>
            </w:rPr>
          </w:pPr>
          <w:r>
            <w:rPr>
              <w:rFonts w:hint="eastAsia" w:ascii="宋体" w:hAnsi="宋体" w:eastAsia="宋体" w:cs="宋体"/>
              <w:szCs w:val="28"/>
            </w:rPr>
            <w:fldChar w:fldCharType="begin"/>
          </w:r>
          <w:r>
            <w:rPr>
              <w:rFonts w:hint="eastAsia" w:ascii="宋体" w:hAnsi="宋体" w:eastAsia="宋体" w:cs="宋体"/>
              <w:szCs w:val="28"/>
            </w:rPr>
            <w:instrText xml:space="preserve"> HYPERLINK \l _Toc10239 </w:instrText>
          </w:r>
          <w:r>
            <w:rPr>
              <w:rFonts w:hint="eastAsia" w:ascii="宋体" w:hAnsi="宋体" w:eastAsia="宋体" w:cs="宋体"/>
              <w:szCs w:val="28"/>
            </w:rPr>
            <w:fldChar w:fldCharType="separate"/>
          </w:r>
          <w:r>
            <w:rPr>
              <w:rFonts w:hint="eastAsia" w:ascii="宋体" w:hAnsi="宋体" w:eastAsia="宋体" w:cs="宋体"/>
            </w:rPr>
            <w:t>（一） 毕业生的工作与专业相关度</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_Toc10239 </w:instrText>
          </w:r>
          <w:r>
            <w:rPr>
              <w:rFonts w:hint="eastAsia" w:ascii="宋体" w:hAnsi="宋体" w:eastAsia="宋体" w:cs="宋体"/>
            </w:rPr>
            <w:fldChar w:fldCharType="separate"/>
          </w:r>
          <w:r>
            <w:rPr>
              <w:rFonts w:hint="eastAsia" w:ascii="宋体" w:hAnsi="宋体" w:eastAsia="宋体" w:cs="宋体"/>
            </w:rPr>
            <w:t>42</w:t>
          </w:r>
          <w:r>
            <w:rPr>
              <w:rFonts w:hint="eastAsia" w:ascii="宋体" w:hAnsi="宋体" w:eastAsia="宋体" w:cs="宋体"/>
            </w:rPr>
            <w:fldChar w:fldCharType="end"/>
          </w:r>
          <w:r>
            <w:rPr>
              <w:rFonts w:hint="eastAsia" w:ascii="宋体" w:hAnsi="宋体" w:eastAsia="宋体" w:cs="宋体"/>
              <w:szCs w:val="28"/>
            </w:rPr>
            <w:fldChar w:fldCharType="end"/>
          </w:r>
        </w:p>
        <w:p>
          <w:pPr>
            <w:pStyle w:val="9"/>
            <w:tabs>
              <w:tab w:val="right" w:leader="dot" w:pos="8674"/>
            </w:tabs>
            <w:rPr>
              <w:rFonts w:hint="eastAsia" w:ascii="宋体" w:hAnsi="宋体" w:eastAsia="宋体" w:cs="宋体"/>
            </w:rPr>
          </w:pPr>
          <w:r>
            <w:rPr>
              <w:rFonts w:hint="eastAsia" w:ascii="宋体" w:hAnsi="宋体" w:eastAsia="宋体" w:cs="宋体"/>
              <w:szCs w:val="28"/>
            </w:rPr>
            <w:fldChar w:fldCharType="begin"/>
          </w:r>
          <w:r>
            <w:rPr>
              <w:rFonts w:hint="eastAsia" w:ascii="宋体" w:hAnsi="宋体" w:eastAsia="宋体" w:cs="宋体"/>
              <w:szCs w:val="28"/>
            </w:rPr>
            <w:instrText xml:space="preserve"> HYPERLINK \l _Toc8435 </w:instrText>
          </w:r>
          <w:r>
            <w:rPr>
              <w:rFonts w:hint="eastAsia" w:ascii="宋体" w:hAnsi="宋体" w:eastAsia="宋体" w:cs="宋体"/>
              <w:szCs w:val="28"/>
            </w:rPr>
            <w:fldChar w:fldCharType="separate"/>
          </w:r>
          <w:r>
            <w:rPr>
              <w:rFonts w:hint="eastAsia" w:ascii="宋体" w:hAnsi="宋体" w:eastAsia="宋体" w:cs="宋体"/>
            </w:rPr>
            <w:t>（二） 毕业生工作中使用外语的频率</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_Toc8435 </w:instrText>
          </w:r>
          <w:r>
            <w:rPr>
              <w:rFonts w:hint="eastAsia" w:ascii="宋体" w:hAnsi="宋体" w:eastAsia="宋体" w:cs="宋体"/>
            </w:rPr>
            <w:fldChar w:fldCharType="separate"/>
          </w:r>
          <w:r>
            <w:rPr>
              <w:rFonts w:hint="eastAsia" w:ascii="宋体" w:hAnsi="宋体" w:eastAsia="宋体" w:cs="宋体"/>
            </w:rPr>
            <w:t>42</w:t>
          </w:r>
          <w:r>
            <w:rPr>
              <w:rFonts w:hint="eastAsia" w:ascii="宋体" w:hAnsi="宋体" w:eastAsia="宋体" w:cs="宋体"/>
            </w:rPr>
            <w:fldChar w:fldCharType="end"/>
          </w:r>
          <w:r>
            <w:rPr>
              <w:rFonts w:hint="eastAsia" w:ascii="宋体" w:hAnsi="宋体" w:eastAsia="宋体" w:cs="宋体"/>
              <w:szCs w:val="28"/>
            </w:rPr>
            <w:fldChar w:fldCharType="end"/>
          </w:r>
        </w:p>
        <w:p>
          <w:pPr>
            <w:pStyle w:val="9"/>
            <w:tabs>
              <w:tab w:val="right" w:leader="dot" w:pos="8674"/>
            </w:tabs>
            <w:rPr>
              <w:rFonts w:hint="eastAsia" w:ascii="宋体" w:hAnsi="宋体" w:eastAsia="宋体" w:cs="宋体"/>
            </w:rPr>
          </w:pPr>
          <w:r>
            <w:rPr>
              <w:rFonts w:hint="eastAsia" w:ascii="宋体" w:hAnsi="宋体" w:eastAsia="宋体" w:cs="宋体"/>
              <w:szCs w:val="28"/>
            </w:rPr>
            <w:fldChar w:fldCharType="begin"/>
          </w:r>
          <w:r>
            <w:rPr>
              <w:rFonts w:hint="eastAsia" w:ascii="宋体" w:hAnsi="宋体" w:eastAsia="宋体" w:cs="宋体"/>
              <w:szCs w:val="28"/>
            </w:rPr>
            <w:instrText xml:space="preserve"> HYPERLINK \l _Toc7170 </w:instrText>
          </w:r>
          <w:r>
            <w:rPr>
              <w:rFonts w:hint="eastAsia" w:ascii="宋体" w:hAnsi="宋体" w:eastAsia="宋体" w:cs="宋体"/>
              <w:szCs w:val="28"/>
            </w:rPr>
            <w:fldChar w:fldCharType="separate"/>
          </w:r>
          <w:r>
            <w:rPr>
              <w:rFonts w:hint="eastAsia" w:ascii="宋体" w:hAnsi="宋体" w:eastAsia="宋体" w:cs="宋体"/>
            </w:rPr>
            <w:t>（三） 各院系及专业</w:t>
          </w:r>
          <w:r>
            <w:rPr>
              <w:rFonts w:hint="eastAsia" w:ascii="宋体" w:hAnsi="宋体" w:eastAsia="宋体" w:cs="宋体"/>
              <w:lang w:eastAsia="zh-CN"/>
            </w:rPr>
            <w:t>毕业生</w:t>
          </w:r>
          <w:r>
            <w:rPr>
              <w:rFonts w:hint="eastAsia" w:ascii="宋体" w:hAnsi="宋体" w:eastAsia="宋体" w:cs="宋体"/>
            </w:rPr>
            <w:t>的专业相关度</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_Toc7170 </w:instrText>
          </w:r>
          <w:r>
            <w:rPr>
              <w:rFonts w:hint="eastAsia" w:ascii="宋体" w:hAnsi="宋体" w:eastAsia="宋体" w:cs="宋体"/>
            </w:rPr>
            <w:fldChar w:fldCharType="separate"/>
          </w:r>
          <w:r>
            <w:rPr>
              <w:rFonts w:hint="eastAsia" w:ascii="宋体" w:hAnsi="宋体" w:eastAsia="宋体" w:cs="宋体"/>
            </w:rPr>
            <w:t>43</w:t>
          </w:r>
          <w:r>
            <w:rPr>
              <w:rFonts w:hint="eastAsia" w:ascii="宋体" w:hAnsi="宋体" w:eastAsia="宋体" w:cs="宋体"/>
            </w:rPr>
            <w:fldChar w:fldCharType="end"/>
          </w:r>
          <w:r>
            <w:rPr>
              <w:rFonts w:hint="eastAsia" w:ascii="宋体" w:hAnsi="宋体" w:eastAsia="宋体" w:cs="宋体"/>
              <w:szCs w:val="28"/>
            </w:rPr>
            <w:fldChar w:fldCharType="end"/>
          </w:r>
        </w:p>
        <w:p>
          <w:pPr>
            <w:pStyle w:val="13"/>
            <w:tabs>
              <w:tab w:val="right" w:leader="dot" w:pos="8674"/>
            </w:tabs>
            <w:rPr>
              <w:rFonts w:hint="eastAsia" w:ascii="宋体" w:hAnsi="宋体" w:eastAsia="宋体" w:cs="宋体"/>
            </w:rPr>
          </w:pPr>
          <w:r>
            <w:rPr>
              <w:rFonts w:hint="eastAsia" w:ascii="宋体" w:hAnsi="宋体" w:eastAsia="宋体" w:cs="宋体"/>
              <w:szCs w:val="28"/>
            </w:rPr>
            <w:fldChar w:fldCharType="begin"/>
          </w:r>
          <w:r>
            <w:rPr>
              <w:rFonts w:hint="eastAsia" w:ascii="宋体" w:hAnsi="宋体" w:eastAsia="宋体" w:cs="宋体"/>
              <w:szCs w:val="28"/>
            </w:rPr>
            <w:instrText xml:space="preserve"> HYPERLINK \l _Toc14528 </w:instrText>
          </w:r>
          <w:r>
            <w:rPr>
              <w:rFonts w:hint="eastAsia" w:ascii="宋体" w:hAnsi="宋体" w:eastAsia="宋体" w:cs="宋体"/>
              <w:szCs w:val="28"/>
            </w:rPr>
            <w:fldChar w:fldCharType="separate"/>
          </w:r>
          <w:r>
            <w:rPr>
              <w:rFonts w:hint="eastAsia" w:ascii="宋体" w:hAnsi="宋体" w:eastAsia="宋体" w:cs="宋体"/>
            </w:rPr>
            <w:t>三、 就业现状满意度</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_Toc14528 </w:instrText>
          </w:r>
          <w:r>
            <w:rPr>
              <w:rFonts w:hint="eastAsia" w:ascii="宋体" w:hAnsi="宋体" w:eastAsia="宋体" w:cs="宋体"/>
            </w:rPr>
            <w:fldChar w:fldCharType="separate"/>
          </w:r>
          <w:r>
            <w:rPr>
              <w:rFonts w:hint="eastAsia" w:ascii="宋体" w:hAnsi="宋体" w:eastAsia="宋体" w:cs="宋体"/>
            </w:rPr>
            <w:t>45</w:t>
          </w:r>
          <w:r>
            <w:rPr>
              <w:rFonts w:hint="eastAsia" w:ascii="宋体" w:hAnsi="宋体" w:eastAsia="宋体" w:cs="宋体"/>
            </w:rPr>
            <w:fldChar w:fldCharType="end"/>
          </w:r>
          <w:r>
            <w:rPr>
              <w:rFonts w:hint="eastAsia" w:ascii="宋体" w:hAnsi="宋体" w:eastAsia="宋体" w:cs="宋体"/>
              <w:szCs w:val="28"/>
            </w:rPr>
            <w:fldChar w:fldCharType="end"/>
          </w:r>
        </w:p>
        <w:p>
          <w:pPr>
            <w:pStyle w:val="9"/>
            <w:tabs>
              <w:tab w:val="right" w:leader="dot" w:pos="8674"/>
            </w:tabs>
            <w:rPr>
              <w:rFonts w:hint="eastAsia" w:ascii="宋体" w:hAnsi="宋体" w:eastAsia="宋体" w:cs="宋体"/>
            </w:rPr>
          </w:pPr>
          <w:r>
            <w:rPr>
              <w:rFonts w:hint="eastAsia" w:ascii="宋体" w:hAnsi="宋体" w:eastAsia="宋体" w:cs="宋体"/>
              <w:szCs w:val="28"/>
            </w:rPr>
            <w:fldChar w:fldCharType="begin"/>
          </w:r>
          <w:r>
            <w:rPr>
              <w:rFonts w:hint="eastAsia" w:ascii="宋体" w:hAnsi="宋体" w:eastAsia="宋体" w:cs="宋体"/>
              <w:szCs w:val="28"/>
            </w:rPr>
            <w:instrText xml:space="preserve"> HYPERLINK \l _Toc14772 </w:instrText>
          </w:r>
          <w:r>
            <w:rPr>
              <w:rFonts w:hint="eastAsia" w:ascii="宋体" w:hAnsi="宋体" w:eastAsia="宋体" w:cs="宋体"/>
              <w:szCs w:val="28"/>
            </w:rPr>
            <w:fldChar w:fldCharType="separate"/>
          </w:r>
          <w:r>
            <w:rPr>
              <w:rFonts w:hint="eastAsia" w:ascii="宋体" w:hAnsi="宋体" w:eastAsia="宋体" w:cs="宋体"/>
            </w:rPr>
            <w:t>（一） 毕业生的就业现状满意度</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_Toc14772 </w:instrText>
          </w:r>
          <w:r>
            <w:rPr>
              <w:rFonts w:hint="eastAsia" w:ascii="宋体" w:hAnsi="宋体" w:eastAsia="宋体" w:cs="宋体"/>
            </w:rPr>
            <w:fldChar w:fldCharType="separate"/>
          </w:r>
          <w:r>
            <w:rPr>
              <w:rFonts w:hint="eastAsia" w:ascii="宋体" w:hAnsi="宋体" w:eastAsia="宋体" w:cs="宋体"/>
            </w:rPr>
            <w:t>45</w:t>
          </w:r>
          <w:r>
            <w:rPr>
              <w:rFonts w:hint="eastAsia" w:ascii="宋体" w:hAnsi="宋体" w:eastAsia="宋体" w:cs="宋体"/>
            </w:rPr>
            <w:fldChar w:fldCharType="end"/>
          </w:r>
          <w:r>
            <w:rPr>
              <w:rFonts w:hint="eastAsia" w:ascii="宋体" w:hAnsi="宋体" w:eastAsia="宋体" w:cs="宋体"/>
              <w:szCs w:val="28"/>
            </w:rPr>
            <w:fldChar w:fldCharType="end"/>
          </w:r>
        </w:p>
        <w:p>
          <w:pPr>
            <w:pStyle w:val="9"/>
            <w:tabs>
              <w:tab w:val="right" w:leader="dot" w:pos="8674"/>
            </w:tabs>
            <w:rPr>
              <w:rFonts w:hint="eastAsia" w:ascii="宋体" w:hAnsi="宋体" w:eastAsia="宋体" w:cs="宋体"/>
            </w:rPr>
          </w:pPr>
          <w:r>
            <w:rPr>
              <w:rFonts w:hint="eastAsia" w:ascii="宋体" w:hAnsi="宋体" w:eastAsia="宋体" w:cs="宋体"/>
              <w:szCs w:val="28"/>
            </w:rPr>
            <w:fldChar w:fldCharType="begin"/>
          </w:r>
          <w:r>
            <w:rPr>
              <w:rFonts w:hint="eastAsia" w:ascii="宋体" w:hAnsi="宋体" w:eastAsia="宋体" w:cs="宋体"/>
              <w:szCs w:val="28"/>
            </w:rPr>
            <w:instrText xml:space="preserve"> HYPERLINK \l _Toc28288 </w:instrText>
          </w:r>
          <w:r>
            <w:rPr>
              <w:rFonts w:hint="eastAsia" w:ascii="宋体" w:hAnsi="宋体" w:eastAsia="宋体" w:cs="宋体"/>
              <w:szCs w:val="28"/>
            </w:rPr>
            <w:fldChar w:fldCharType="separate"/>
          </w:r>
          <w:r>
            <w:rPr>
              <w:rFonts w:hint="eastAsia" w:ascii="宋体" w:hAnsi="宋体" w:eastAsia="宋体" w:cs="宋体"/>
            </w:rPr>
            <w:t>（二） 各院系</w:t>
          </w:r>
          <w:r>
            <w:rPr>
              <w:rFonts w:hint="eastAsia" w:ascii="宋体" w:hAnsi="宋体" w:eastAsia="宋体" w:cs="宋体"/>
              <w:lang w:eastAsia="zh-CN"/>
            </w:rPr>
            <w:t>及</w:t>
          </w:r>
          <w:r>
            <w:rPr>
              <w:rFonts w:hint="eastAsia" w:ascii="宋体" w:hAnsi="宋体" w:eastAsia="宋体" w:cs="宋体"/>
            </w:rPr>
            <w:t>专业</w:t>
          </w:r>
          <w:r>
            <w:rPr>
              <w:rFonts w:hint="eastAsia" w:ascii="宋体" w:hAnsi="宋体" w:eastAsia="宋体" w:cs="宋体"/>
              <w:lang w:eastAsia="zh-CN"/>
            </w:rPr>
            <w:t>毕业生的</w:t>
          </w:r>
          <w:r>
            <w:rPr>
              <w:rFonts w:hint="eastAsia" w:ascii="宋体" w:hAnsi="宋体" w:eastAsia="宋体" w:cs="宋体"/>
            </w:rPr>
            <w:t>就业现状满意度</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_Toc28288 </w:instrText>
          </w:r>
          <w:r>
            <w:rPr>
              <w:rFonts w:hint="eastAsia" w:ascii="宋体" w:hAnsi="宋体" w:eastAsia="宋体" w:cs="宋体"/>
            </w:rPr>
            <w:fldChar w:fldCharType="separate"/>
          </w:r>
          <w:r>
            <w:rPr>
              <w:rFonts w:hint="eastAsia" w:ascii="宋体" w:hAnsi="宋体" w:eastAsia="宋体" w:cs="宋体"/>
            </w:rPr>
            <w:t>46</w:t>
          </w:r>
          <w:r>
            <w:rPr>
              <w:rFonts w:hint="eastAsia" w:ascii="宋体" w:hAnsi="宋体" w:eastAsia="宋体" w:cs="宋体"/>
            </w:rPr>
            <w:fldChar w:fldCharType="end"/>
          </w:r>
          <w:r>
            <w:rPr>
              <w:rFonts w:hint="eastAsia" w:ascii="宋体" w:hAnsi="宋体" w:eastAsia="宋体" w:cs="宋体"/>
              <w:szCs w:val="28"/>
            </w:rPr>
            <w:fldChar w:fldCharType="end"/>
          </w:r>
        </w:p>
        <w:p>
          <w:pPr>
            <w:pStyle w:val="13"/>
            <w:tabs>
              <w:tab w:val="right" w:leader="dot" w:pos="8674"/>
            </w:tabs>
            <w:rPr>
              <w:rFonts w:hint="eastAsia" w:ascii="宋体" w:hAnsi="宋体" w:eastAsia="宋体" w:cs="宋体"/>
            </w:rPr>
          </w:pPr>
          <w:r>
            <w:rPr>
              <w:rFonts w:hint="eastAsia" w:ascii="宋体" w:hAnsi="宋体" w:eastAsia="宋体" w:cs="宋体"/>
              <w:szCs w:val="28"/>
            </w:rPr>
            <w:fldChar w:fldCharType="begin"/>
          </w:r>
          <w:r>
            <w:rPr>
              <w:rFonts w:hint="eastAsia" w:ascii="宋体" w:hAnsi="宋体" w:eastAsia="宋体" w:cs="宋体"/>
              <w:szCs w:val="28"/>
            </w:rPr>
            <w:instrText xml:space="preserve"> HYPERLINK \l _Toc12693 </w:instrText>
          </w:r>
          <w:r>
            <w:rPr>
              <w:rFonts w:hint="eastAsia" w:ascii="宋体" w:hAnsi="宋体" w:eastAsia="宋体" w:cs="宋体"/>
              <w:szCs w:val="28"/>
            </w:rPr>
            <w:fldChar w:fldCharType="separate"/>
          </w:r>
          <w:r>
            <w:rPr>
              <w:rFonts w:hint="eastAsia" w:ascii="宋体" w:hAnsi="宋体" w:eastAsia="宋体" w:cs="宋体"/>
            </w:rPr>
            <w:t>四、 职业期待吻合度</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_Toc12693 </w:instrText>
          </w:r>
          <w:r>
            <w:rPr>
              <w:rFonts w:hint="eastAsia" w:ascii="宋体" w:hAnsi="宋体" w:eastAsia="宋体" w:cs="宋体"/>
            </w:rPr>
            <w:fldChar w:fldCharType="separate"/>
          </w:r>
          <w:r>
            <w:rPr>
              <w:rFonts w:hint="eastAsia" w:ascii="宋体" w:hAnsi="宋体" w:eastAsia="宋体" w:cs="宋体"/>
            </w:rPr>
            <w:t>48</w:t>
          </w:r>
          <w:r>
            <w:rPr>
              <w:rFonts w:hint="eastAsia" w:ascii="宋体" w:hAnsi="宋体" w:eastAsia="宋体" w:cs="宋体"/>
            </w:rPr>
            <w:fldChar w:fldCharType="end"/>
          </w:r>
          <w:r>
            <w:rPr>
              <w:rFonts w:hint="eastAsia" w:ascii="宋体" w:hAnsi="宋体" w:eastAsia="宋体" w:cs="宋体"/>
              <w:szCs w:val="28"/>
            </w:rPr>
            <w:fldChar w:fldCharType="end"/>
          </w:r>
        </w:p>
        <w:p>
          <w:pPr>
            <w:pStyle w:val="9"/>
            <w:tabs>
              <w:tab w:val="right" w:leader="dot" w:pos="8674"/>
            </w:tabs>
            <w:rPr>
              <w:rFonts w:hint="eastAsia" w:ascii="宋体" w:hAnsi="宋体" w:eastAsia="宋体" w:cs="宋体"/>
            </w:rPr>
          </w:pPr>
          <w:r>
            <w:rPr>
              <w:rFonts w:hint="eastAsia" w:ascii="宋体" w:hAnsi="宋体" w:eastAsia="宋体" w:cs="宋体"/>
              <w:szCs w:val="28"/>
            </w:rPr>
            <w:fldChar w:fldCharType="begin"/>
          </w:r>
          <w:r>
            <w:rPr>
              <w:rFonts w:hint="eastAsia" w:ascii="宋体" w:hAnsi="宋体" w:eastAsia="宋体" w:cs="宋体"/>
              <w:szCs w:val="28"/>
            </w:rPr>
            <w:instrText xml:space="preserve"> HYPERLINK \l _Toc27289 </w:instrText>
          </w:r>
          <w:r>
            <w:rPr>
              <w:rFonts w:hint="eastAsia" w:ascii="宋体" w:hAnsi="宋体" w:eastAsia="宋体" w:cs="宋体"/>
              <w:szCs w:val="28"/>
            </w:rPr>
            <w:fldChar w:fldCharType="separate"/>
          </w:r>
          <w:r>
            <w:rPr>
              <w:rFonts w:hint="eastAsia" w:ascii="宋体" w:hAnsi="宋体" w:eastAsia="宋体" w:cs="宋体"/>
            </w:rPr>
            <w:t>（一） 毕业生的职业期待吻合度</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_Toc27289 </w:instrText>
          </w:r>
          <w:r>
            <w:rPr>
              <w:rFonts w:hint="eastAsia" w:ascii="宋体" w:hAnsi="宋体" w:eastAsia="宋体" w:cs="宋体"/>
            </w:rPr>
            <w:fldChar w:fldCharType="separate"/>
          </w:r>
          <w:r>
            <w:rPr>
              <w:rFonts w:hint="eastAsia" w:ascii="宋体" w:hAnsi="宋体" w:eastAsia="宋体" w:cs="宋体"/>
            </w:rPr>
            <w:t>48</w:t>
          </w:r>
          <w:r>
            <w:rPr>
              <w:rFonts w:hint="eastAsia" w:ascii="宋体" w:hAnsi="宋体" w:eastAsia="宋体" w:cs="宋体"/>
            </w:rPr>
            <w:fldChar w:fldCharType="end"/>
          </w:r>
          <w:r>
            <w:rPr>
              <w:rFonts w:hint="eastAsia" w:ascii="宋体" w:hAnsi="宋体" w:eastAsia="宋体" w:cs="宋体"/>
              <w:szCs w:val="28"/>
            </w:rPr>
            <w:fldChar w:fldCharType="end"/>
          </w:r>
        </w:p>
        <w:p>
          <w:pPr>
            <w:pStyle w:val="9"/>
            <w:tabs>
              <w:tab w:val="right" w:leader="dot" w:pos="8674"/>
            </w:tabs>
            <w:rPr>
              <w:rFonts w:hint="eastAsia" w:ascii="宋体" w:hAnsi="宋体" w:eastAsia="宋体" w:cs="宋体"/>
            </w:rPr>
          </w:pPr>
          <w:r>
            <w:rPr>
              <w:rFonts w:hint="eastAsia" w:ascii="宋体" w:hAnsi="宋体" w:eastAsia="宋体" w:cs="宋体"/>
              <w:szCs w:val="28"/>
            </w:rPr>
            <w:fldChar w:fldCharType="begin"/>
          </w:r>
          <w:r>
            <w:rPr>
              <w:rFonts w:hint="eastAsia" w:ascii="宋体" w:hAnsi="宋体" w:eastAsia="宋体" w:cs="宋体"/>
              <w:szCs w:val="28"/>
            </w:rPr>
            <w:instrText xml:space="preserve"> HYPERLINK \l _Toc1207 </w:instrText>
          </w:r>
          <w:r>
            <w:rPr>
              <w:rFonts w:hint="eastAsia" w:ascii="宋体" w:hAnsi="宋体" w:eastAsia="宋体" w:cs="宋体"/>
              <w:szCs w:val="28"/>
            </w:rPr>
            <w:fldChar w:fldCharType="separate"/>
          </w:r>
          <w:r>
            <w:rPr>
              <w:rFonts w:hint="eastAsia" w:ascii="宋体" w:hAnsi="宋体" w:eastAsia="宋体" w:cs="宋体"/>
            </w:rPr>
            <w:t>（二） 各专业的职业期待吻合度</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_Toc1207 </w:instrText>
          </w:r>
          <w:r>
            <w:rPr>
              <w:rFonts w:hint="eastAsia" w:ascii="宋体" w:hAnsi="宋体" w:eastAsia="宋体" w:cs="宋体"/>
            </w:rPr>
            <w:fldChar w:fldCharType="separate"/>
          </w:r>
          <w:r>
            <w:rPr>
              <w:rFonts w:hint="eastAsia" w:ascii="宋体" w:hAnsi="宋体" w:eastAsia="宋体" w:cs="宋体"/>
            </w:rPr>
            <w:t>49</w:t>
          </w:r>
          <w:r>
            <w:rPr>
              <w:rFonts w:hint="eastAsia" w:ascii="宋体" w:hAnsi="宋体" w:eastAsia="宋体" w:cs="宋体"/>
            </w:rPr>
            <w:fldChar w:fldCharType="end"/>
          </w:r>
          <w:r>
            <w:rPr>
              <w:rFonts w:hint="eastAsia" w:ascii="宋体" w:hAnsi="宋体" w:eastAsia="宋体" w:cs="宋体"/>
              <w:szCs w:val="28"/>
            </w:rPr>
            <w:fldChar w:fldCharType="end"/>
          </w:r>
        </w:p>
        <w:p>
          <w:pPr>
            <w:pStyle w:val="12"/>
            <w:tabs>
              <w:tab w:val="right" w:leader="dot" w:pos="8674"/>
            </w:tabs>
            <w:rPr>
              <w:rFonts w:hint="eastAsia" w:ascii="宋体" w:hAnsi="宋体" w:eastAsia="宋体" w:cs="宋体"/>
            </w:rPr>
          </w:pPr>
          <w:r>
            <w:rPr>
              <w:rFonts w:hint="eastAsia" w:ascii="宋体" w:hAnsi="宋体" w:eastAsia="宋体" w:cs="宋体"/>
              <w:szCs w:val="28"/>
            </w:rPr>
            <w:fldChar w:fldCharType="begin"/>
          </w:r>
          <w:r>
            <w:rPr>
              <w:rFonts w:hint="eastAsia" w:ascii="宋体" w:hAnsi="宋体" w:eastAsia="宋体" w:cs="宋体"/>
              <w:szCs w:val="28"/>
            </w:rPr>
            <w:instrText xml:space="preserve"> HYPERLINK \l _Toc3414 </w:instrText>
          </w:r>
          <w:r>
            <w:rPr>
              <w:rFonts w:hint="eastAsia" w:ascii="宋体" w:hAnsi="宋体" w:eastAsia="宋体" w:cs="宋体"/>
              <w:szCs w:val="28"/>
            </w:rPr>
            <w:fldChar w:fldCharType="separate"/>
          </w:r>
          <w:r>
            <w:rPr>
              <w:rFonts w:hint="eastAsia" w:ascii="宋体" w:hAnsi="宋体" w:eastAsia="宋体" w:cs="宋体"/>
            </w:rPr>
            <w:t>第三章 就业发展趋势分析</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_Toc3414 </w:instrText>
          </w:r>
          <w:r>
            <w:rPr>
              <w:rFonts w:hint="eastAsia" w:ascii="宋体" w:hAnsi="宋体" w:eastAsia="宋体" w:cs="宋体"/>
            </w:rPr>
            <w:fldChar w:fldCharType="separate"/>
          </w:r>
          <w:r>
            <w:rPr>
              <w:rFonts w:hint="eastAsia" w:ascii="宋体" w:hAnsi="宋体" w:eastAsia="宋体" w:cs="宋体"/>
            </w:rPr>
            <w:t>50</w:t>
          </w:r>
          <w:r>
            <w:rPr>
              <w:rFonts w:hint="eastAsia" w:ascii="宋体" w:hAnsi="宋体" w:eastAsia="宋体" w:cs="宋体"/>
            </w:rPr>
            <w:fldChar w:fldCharType="end"/>
          </w:r>
          <w:r>
            <w:rPr>
              <w:rFonts w:hint="eastAsia" w:ascii="宋体" w:hAnsi="宋体" w:eastAsia="宋体" w:cs="宋体"/>
              <w:szCs w:val="28"/>
            </w:rPr>
            <w:fldChar w:fldCharType="end"/>
          </w:r>
        </w:p>
        <w:p>
          <w:pPr>
            <w:pStyle w:val="13"/>
            <w:tabs>
              <w:tab w:val="right" w:leader="dot" w:pos="8674"/>
            </w:tabs>
            <w:rPr>
              <w:rFonts w:hint="eastAsia" w:ascii="宋体" w:hAnsi="宋体" w:eastAsia="宋体" w:cs="宋体"/>
            </w:rPr>
          </w:pPr>
          <w:r>
            <w:rPr>
              <w:rFonts w:hint="eastAsia" w:ascii="宋体" w:hAnsi="宋体" w:eastAsia="宋体" w:cs="宋体"/>
              <w:szCs w:val="28"/>
            </w:rPr>
            <w:fldChar w:fldCharType="begin"/>
          </w:r>
          <w:r>
            <w:rPr>
              <w:rFonts w:hint="eastAsia" w:ascii="宋体" w:hAnsi="宋体" w:eastAsia="宋体" w:cs="宋体"/>
              <w:szCs w:val="28"/>
            </w:rPr>
            <w:instrText xml:space="preserve"> HYPERLINK \l _Toc23611 </w:instrText>
          </w:r>
          <w:r>
            <w:rPr>
              <w:rFonts w:hint="eastAsia" w:ascii="宋体" w:hAnsi="宋体" w:eastAsia="宋体" w:cs="宋体"/>
              <w:szCs w:val="28"/>
            </w:rPr>
            <w:fldChar w:fldCharType="separate"/>
          </w:r>
          <w:r>
            <w:rPr>
              <w:rFonts w:hint="eastAsia" w:ascii="宋体" w:hAnsi="宋体" w:eastAsia="宋体" w:cs="宋体"/>
            </w:rPr>
            <w:t>一、 本校就业趋势性研判</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_Toc23611 </w:instrText>
          </w:r>
          <w:r>
            <w:rPr>
              <w:rFonts w:hint="eastAsia" w:ascii="宋体" w:hAnsi="宋体" w:eastAsia="宋体" w:cs="宋体"/>
            </w:rPr>
            <w:fldChar w:fldCharType="separate"/>
          </w:r>
          <w:r>
            <w:rPr>
              <w:rFonts w:hint="eastAsia" w:ascii="宋体" w:hAnsi="宋体" w:eastAsia="宋体" w:cs="宋体"/>
            </w:rPr>
            <w:t>50</w:t>
          </w:r>
          <w:r>
            <w:rPr>
              <w:rFonts w:hint="eastAsia" w:ascii="宋体" w:hAnsi="宋体" w:eastAsia="宋体" w:cs="宋体"/>
            </w:rPr>
            <w:fldChar w:fldCharType="end"/>
          </w:r>
          <w:r>
            <w:rPr>
              <w:rFonts w:hint="eastAsia" w:ascii="宋体" w:hAnsi="宋体" w:eastAsia="宋体" w:cs="宋体"/>
              <w:szCs w:val="28"/>
            </w:rPr>
            <w:fldChar w:fldCharType="end"/>
          </w:r>
        </w:p>
        <w:p>
          <w:pPr>
            <w:pStyle w:val="9"/>
            <w:tabs>
              <w:tab w:val="right" w:leader="dot" w:pos="8674"/>
            </w:tabs>
            <w:rPr>
              <w:rFonts w:hint="eastAsia" w:ascii="宋体" w:hAnsi="宋体" w:eastAsia="宋体" w:cs="宋体"/>
            </w:rPr>
          </w:pPr>
          <w:r>
            <w:rPr>
              <w:rFonts w:hint="eastAsia" w:ascii="宋体" w:hAnsi="宋体" w:eastAsia="宋体" w:cs="宋体"/>
              <w:szCs w:val="28"/>
            </w:rPr>
            <w:fldChar w:fldCharType="begin"/>
          </w:r>
          <w:r>
            <w:rPr>
              <w:rFonts w:hint="eastAsia" w:ascii="宋体" w:hAnsi="宋体" w:eastAsia="宋体" w:cs="宋体"/>
              <w:szCs w:val="28"/>
            </w:rPr>
            <w:instrText xml:space="preserve"> HYPERLINK \l _Toc27999 </w:instrText>
          </w:r>
          <w:r>
            <w:rPr>
              <w:rFonts w:hint="eastAsia" w:ascii="宋体" w:hAnsi="宋体" w:eastAsia="宋体" w:cs="宋体"/>
              <w:szCs w:val="28"/>
            </w:rPr>
            <w:fldChar w:fldCharType="separate"/>
          </w:r>
          <w:r>
            <w:rPr>
              <w:rFonts w:hint="eastAsia" w:ascii="宋体" w:hAnsi="宋体" w:eastAsia="宋体" w:cs="宋体"/>
            </w:rPr>
            <w:t>（一） 升学对毕业生的去向分流可能会进一步扩大</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_Toc27999 </w:instrText>
          </w:r>
          <w:r>
            <w:rPr>
              <w:rFonts w:hint="eastAsia" w:ascii="宋体" w:hAnsi="宋体" w:eastAsia="宋体" w:cs="宋体"/>
            </w:rPr>
            <w:fldChar w:fldCharType="separate"/>
          </w:r>
          <w:r>
            <w:rPr>
              <w:rFonts w:hint="eastAsia" w:ascii="宋体" w:hAnsi="宋体" w:eastAsia="宋体" w:cs="宋体"/>
            </w:rPr>
            <w:t>50</w:t>
          </w:r>
          <w:r>
            <w:rPr>
              <w:rFonts w:hint="eastAsia" w:ascii="宋体" w:hAnsi="宋体" w:eastAsia="宋体" w:cs="宋体"/>
            </w:rPr>
            <w:fldChar w:fldCharType="end"/>
          </w:r>
          <w:r>
            <w:rPr>
              <w:rFonts w:hint="eastAsia" w:ascii="宋体" w:hAnsi="宋体" w:eastAsia="宋体" w:cs="宋体"/>
              <w:szCs w:val="28"/>
            </w:rPr>
            <w:fldChar w:fldCharType="end"/>
          </w:r>
        </w:p>
        <w:p>
          <w:pPr>
            <w:pStyle w:val="9"/>
            <w:tabs>
              <w:tab w:val="right" w:leader="dot" w:pos="8674"/>
            </w:tabs>
            <w:rPr>
              <w:rFonts w:hint="eastAsia" w:ascii="宋体" w:hAnsi="宋体" w:eastAsia="宋体" w:cs="宋体"/>
            </w:rPr>
          </w:pPr>
          <w:r>
            <w:rPr>
              <w:rFonts w:hint="eastAsia" w:ascii="宋体" w:hAnsi="宋体" w:eastAsia="宋体" w:cs="宋体"/>
              <w:szCs w:val="28"/>
            </w:rPr>
            <w:fldChar w:fldCharType="begin"/>
          </w:r>
          <w:r>
            <w:rPr>
              <w:rFonts w:hint="eastAsia" w:ascii="宋体" w:hAnsi="宋体" w:eastAsia="宋体" w:cs="宋体"/>
              <w:szCs w:val="28"/>
            </w:rPr>
            <w:instrText xml:space="preserve"> HYPERLINK \l _Toc27567 </w:instrText>
          </w:r>
          <w:r>
            <w:rPr>
              <w:rFonts w:hint="eastAsia" w:ascii="宋体" w:hAnsi="宋体" w:eastAsia="宋体" w:cs="宋体"/>
              <w:szCs w:val="28"/>
            </w:rPr>
            <w:fldChar w:fldCharType="separate"/>
          </w:r>
          <w:r>
            <w:rPr>
              <w:rFonts w:hint="eastAsia" w:ascii="宋体" w:hAnsi="宋体" w:eastAsia="宋体" w:cs="宋体"/>
            </w:rPr>
            <w:t>（二） “一带一路”等重大发展战略的推进为毕业生就业提供了新机遇</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_Toc27567 </w:instrText>
          </w:r>
          <w:r>
            <w:rPr>
              <w:rFonts w:hint="eastAsia" w:ascii="宋体" w:hAnsi="宋体" w:eastAsia="宋体" w:cs="宋体"/>
            </w:rPr>
            <w:fldChar w:fldCharType="separate"/>
          </w:r>
          <w:r>
            <w:rPr>
              <w:rFonts w:hint="eastAsia" w:ascii="宋体" w:hAnsi="宋体" w:eastAsia="宋体" w:cs="宋体"/>
            </w:rPr>
            <w:t>50</w:t>
          </w:r>
          <w:r>
            <w:rPr>
              <w:rFonts w:hint="eastAsia" w:ascii="宋体" w:hAnsi="宋体" w:eastAsia="宋体" w:cs="宋体"/>
            </w:rPr>
            <w:fldChar w:fldCharType="end"/>
          </w:r>
          <w:r>
            <w:rPr>
              <w:rFonts w:hint="eastAsia" w:ascii="宋体" w:hAnsi="宋体" w:eastAsia="宋体" w:cs="宋体"/>
              <w:szCs w:val="28"/>
            </w:rPr>
            <w:fldChar w:fldCharType="end"/>
          </w:r>
        </w:p>
        <w:p>
          <w:pPr>
            <w:pStyle w:val="9"/>
            <w:tabs>
              <w:tab w:val="right" w:leader="dot" w:pos="8674"/>
            </w:tabs>
            <w:rPr>
              <w:rFonts w:hint="eastAsia" w:ascii="宋体" w:hAnsi="宋体" w:eastAsia="宋体" w:cs="宋体"/>
            </w:rPr>
          </w:pPr>
          <w:r>
            <w:rPr>
              <w:rFonts w:hint="eastAsia" w:ascii="宋体" w:hAnsi="宋体" w:eastAsia="宋体" w:cs="宋体"/>
              <w:szCs w:val="28"/>
            </w:rPr>
            <w:fldChar w:fldCharType="begin"/>
          </w:r>
          <w:r>
            <w:rPr>
              <w:rFonts w:hint="eastAsia" w:ascii="宋体" w:hAnsi="宋体" w:eastAsia="宋体" w:cs="宋体"/>
              <w:szCs w:val="28"/>
            </w:rPr>
            <w:instrText xml:space="preserve"> HYPERLINK \l _Toc6648 </w:instrText>
          </w:r>
          <w:r>
            <w:rPr>
              <w:rFonts w:hint="eastAsia" w:ascii="宋体" w:hAnsi="宋体" w:eastAsia="宋体" w:cs="宋体"/>
              <w:szCs w:val="28"/>
            </w:rPr>
            <w:fldChar w:fldCharType="separate"/>
          </w:r>
          <w:r>
            <w:rPr>
              <w:rFonts w:hint="eastAsia" w:ascii="宋体" w:hAnsi="宋体" w:eastAsia="宋体" w:cs="宋体"/>
            </w:rPr>
            <w:t>（三） 民营企业、中小企业将继续充当吸纳毕业生就业的主体</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_Toc6648 </w:instrText>
          </w:r>
          <w:r>
            <w:rPr>
              <w:rFonts w:hint="eastAsia" w:ascii="宋体" w:hAnsi="宋体" w:eastAsia="宋体" w:cs="宋体"/>
            </w:rPr>
            <w:fldChar w:fldCharType="separate"/>
          </w:r>
          <w:r>
            <w:rPr>
              <w:rFonts w:hint="eastAsia" w:ascii="宋体" w:hAnsi="宋体" w:eastAsia="宋体" w:cs="宋体"/>
            </w:rPr>
            <w:t>51</w:t>
          </w:r>
          <w:r>
            <w:rPr>
              <w:rFonts w:hint="eastAsia" w:ascii="宋体" w:hAnsi="宋体" w:eastAsia="宋体" w:cs="宋体"/>
            </w:rPr>
            <w:fldChar w:fldCharType="end"/>
          </w:r>
          <w:r>
            <w:rPr>
              <w:rFonts w:hint="eastAsia" w:ascii="宋体" w:hAnsi="宋体" w:eastAsia="宋体" w:cs="宋体"/>
              <w:szCs w:val="28"/>
            </w:rPr>
            <w:fldChar w:fldCharType="end"/>
          </w:r>
        </w:p>
        <w:p>
          <w:pPr>
            <w:pStyle w:val="13"/>
            <w:tabs>
              <w:tab w:val="right" w:leader="dot" w:pos="8674"/>
            </w:tabs>
            <w:rPr>
              <w:rFonts w:hint="eastAsia" w:ascii="宋体" w:hAnsi="宋体" w:eastAsia="宋体" w:cs="宋体"/>
            </w:rPr>
          </w:pPr>
          <w:r>
            <w:rPr>
              <w:rFonts w:hint="eastAsia" w:ascii="宋体" w:hAnsi="宋体" w:eastAsia="宋体" w:cs="宋体"/>
              <w:szCs w:val="28"/>
            </w:rPr>
            <w:fldChar w:fldCharType="begin"/>
          </w:r>
          <w:r>
            <w:rPr>
              <w:rFonts w:hint="eastAsia" w:ascii="宋体" w:hAnsi="宋体" w:eastAsia="宋体" w:cs="宋体"/>
              <w:szCs w:val="28"/>
            </w:rPr>
            <w:instrText xml:space="preserve"> HYPERLINK \l _Toc6178 </w:instrText>
          </w:r>
          <w:r>
            <w:rPr>
              <w:rFonts w:hint="eastAsia" w:ascii="宋体" w:hAnsi="宋体" w:eastAsia="宋体" w:cs="宋体"/>
              <w:szCs w:val="28"/>
            </w:rPr>
            <w:fldChar w:fldCharType="separate"/>
          </w:r>
          <w:r>
            <w:rPr>
              <w:rFonts w:hint="eastAsia" w:ascii="宋体" w:hAnsi="宋体" w:eastAsia="宋体" w:cs="宋体"/>
            </w:rPr>
            <w:t>二、 就业特点变化趋势</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_Toc6178 </w:instrText>
          </w:r>
          <w:r>
            <w:rPr>
              <w:rFonts w:hint="eastAsia" w:ascii="宋体" w:hAnsi="宋体" w:eastAsia="宋体" w:cs="宋体"/>
            </w:rPr>
            <w:fldChar w:fldCharType="separate"/>
          </w:r>
          <w:r>
            <w:rPr>
              <w:rFonts w:hint="eastAsia" w:ascii="宋体" w:hAnsi="宋体" w:eastAsia="宋体" w:cs="宋体"/>
            </w:rPr>
            <w:t>52</w:t>
          </w:r>
          <w:r>
            <w:rPr>
              <w:rFonts w:hint="eastAsia" w:ascii="宋体" w:hAnsi="宋体" w:eastAsia="宋体" w:cs="宋体"/>
            </w:rPr>
            <w:fldChar w:fldCharType="end"/>
          </w:r>
          <w:r>
            <w:rPr>
              <w:rFonts w:hint="eastAsia" w:ascii="宋体" w:hAnsi="宋体" w:eastAsia="宋体" w:cs="宋体"/>
              <w:szCs w:val="28"/>
            </w:rPr>
            <w:fldChar w:fldCharType="end"/>
          </w:r>
        </w:p>
        <w:p>
          <w:pPr>
            <w:pStyle w:val="9"/>
            <w:tabs>
              <w:tab w:val="right" w:leader="dot" w:pos="8674"/>
            </w:tabs>
            <w:rPr>
              <w:rFonts w:hint="eastAsia" w:ascii="宋体" w:hAnsi="宋体" w:eastAsia="宋体" w:cs="宋体"/>
            </w:rPr>
          </w:pPr>
          <w:r>
            <w:rPr>
              <w:rFonts w:hint="eastAsia" w:ascii="宋体" w:hAnsi="宋体" w:eastAsia="宋体" w:cs="宋体"/>
              <w:szCs w:val="28"/>
            </w:rPr>
            <w:fldChar w:fldCharType="begin"/>
          </w:r>
          <w:r>
            <w:rPr>
              <w:rFonts w:hint="eastAsia" w:ascii="宋体" w:hAnsi="宋体" w:eastAsia="宋体" w:cs="宋体"/>
              <w:szCs w:val="28"/>
            </w:rPr>
            <w:instrText xml:space="preserve"> HYPERLINK \l _Toc13448 </w:instrText>
          </w:r>
          <w:r>
            <w:rPr>
              <w:rFonts w:hint="eastAsia" w:ascii="宋体" w:hAnsi="宋体" w:eastAsia="宋体" w:cs="宋体"/>
              <w:szCs w:val="28"/>
            </w:rPr>
            <w:fldChar w:fldCharType="separate"/>
          </w:r>
          <w:r>
            <w:rPr>
              <w:rFonts w:hint="eastAsia" w:ascii="宋体" w:hAnsi="宋体" w:eastAsia="宋体" w:cs="宋体"/>
            </w:rPr>
            <w:t>（一） 职业变化趋势</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_Toc13448 </w:instrText>
          </w:r>
          <w:r>
            <w:rPr>
              <w:rFonts w:hint="eastAsia" w:ascii="宋体" w:hAnsi="宋体" w:eastAsia="宋体" w:cs="宋体"/>
            </w:rPr>
            <w:fldChar w:fldCharType="separate"/>
          </w:r>
          <w:r>
            <w:rPr>
              <w:rFonts w:hint="eastAsia" w:ascii="宋体" w:hAnsi="宋体" w:eastAsia="宋体" w:cs="宋体"/>
            </w:rPr>
            <w:t>52</w:t>
          </w:r>
          <w:r>
            <w:rPr>
              <w:rFonts w:hint="eastAsia" w:ascii="宋体" w:hAnsi="宋体" w:eastAsia="宋体" w:cs="宋体"/>
            </w:rPr>
            <w:fldChar w:fldCharType="end"/>
          </w:r>
          <w:r>
            <w:rPr>
              <w:rFonts w:hint="eastAsia" w:ascii="宋体" w:hAnsi="宋体" w:eastAsia="宋体" w:cs="宋体"/>
              <w:szCs w:val="28"/>
            </w:rPr>
            <w:fldChar w:fldCharType="end"/>
          </w:r>
        </w:p>
        <w:p>
          <w:pPr>
            <w:pStyle w:val="9"/>
            <w:tabs>
              <w:tab w:val="right" w:leader="dot" w:pos="8674"/>
            </w:tabs>
            <w:rPr>
              <w:rFonts w:hint="eastAsia" w:ascii="宋体" w:hAnsi="宋体" w:eastAsia="宋体" w:cs="宋体"/>
            </w:rPr>
          </w:pPr>
          <w:r>
            <w:rPr>
              <w:rFonts w:hint="eastAsia" w:ascii="宋体" w:hAnsi="宋体" w:eastAsia="宋体" w:cs="宋体"/>
              <w:szCs w:val="28"/>
            </w:rPr>
            <w:fldChar w:fldCharType="begin"/>
          </w:r>
          <w:r>
            <w:rPr>
              <w:rFonts w:hint="eastAsia" w:ascii="宋体" w:hAnsi="宋体" w:eastAsia="宋体" w:cs="宋体"/>
              <w:szCs w:val="28"/>
            </w:rPr>
            <w:instrText xml:space="preserve"> HYPERLINK \l _Toc17622 </w:instrText>
          </w:r>
          <w:r>
            <w:rPr>
              <w:rFonts w:hint="eastAsia" w:ascii="宋体" w:hAnsi="宋体" w:eastAsia="宋体" w:cs="宋体"/>
              <w:szCs w:val="28"/>
            </w:rPr>
            <w:fldChar w:fldCharType="separate"/>
          </w:r>
          <w:r>
            <w:rPr>
              <w:rFonts w:hint="eastAsia" w:ascii="宋体" w:hAnsi="宋体" w:eastAsia="宋体" w:cs="宋体"/>
            </w:rPr>
            <w:t>（二） 行业变化趋势</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_Toc17622 </w:instrText>
          </w:r>
          <w:r>
            <w:rPr>
              <w:rFonts w:hint="eastAsia" w:ascii="宋体" w:hAnsi="宋体" w:eastAsia="宋体" w:cs="宋体"/>
            </w:rPr>
            <w:fldChar w:fldCharType="separate"/>
          </w:r>
          <w:r>
            <w:rPr>
              <w:rFonts w:hint="eastAsia" w:ascii="宋体" w:hAnsi="宋体" w:eastAsia="宋体" w:cs="宋体"/>
            </w:rPr>
            <w:t>52</w:t>
          </w:r>
          <w:r>
            <w:rPr>
              <w:rFonts w:hint="eastAsia" w:ascii="宋体" w:hAnsi="宋体" w:eastAsia="宋体" w:cs="宋体"/>
            </w:rPr>
            <w:fldChar w:fldCharType="end"/>
          </w:r>
          <w:r>
            <w:rPr>
              <w:rFonts w:hint="eastAsia" w:ascii="宋体" w:hAnsi="宋体" w:eastAsia="宋体" w:cs="宋体"/>
              <w:szCs w:val="28"/>
            </w:rPr>
            <w:fldChar w:fldCharType="end"/>
          </w:r>
        </w:p>
        <w:p>
          <w:pPr>
            <w:pStyle w:val="9"/>
            <w:tabs>
              <w:tab w:val="right" w:leader="dot" w:pos="8674"/>
            </w:tabs>
            <w:rPr>
              <w:rFonts w:hint="eastAsia" w:ascii="宋体" w:hAnsi="宋体" w:eastAsia="宋体" w:cs="宋体"/>
            </w:rPr>
          </w:pPr>
          <w:r>
            <w:rPr>
              <w:rFonts w:hint="eastAsia" w:ascii="宋体" w:hAnsi="宋体" w:eastAsia="宋体" w:cs="宋体"/>
              <w:szCs w:val="28"/>
            </w:rPr>
            <w:fldChar w:fldCharType="begin"/>
          </w:r>
          <w:r>
            <w:rPr>
              <w:rFonts w:hint="eastAsia" w:ascii="宋体" w:hAnsi="宋体" w:eastAsia="宋体" w:cs="宋体"/>
              <w:szCs w:val="28"/>
            </w:rPr>
            <w:instrText xml:space="preserve"> HYPERLINK \l _Toc9434 </w:instrText>
          </w:r>
          <w:r>
            <w:rPr>
              <w:rFonts w:hint="eastAsia" w:ascii="宋体" w:hAnsi="宋体" w:eastAsia="宋体" w:cs="宋体"/>
              <w:szCs w:val="28"/>
            </w:rPr>
            <w:fldChar w:fldCharType="separate"/>
          </w:r>
          <w:r>
            <w:rPr>
              <w:rFonts w:hint="eastAsia" w:ascii="宋体" w:hAnsi="宋体" w:eastAsia="宋体" w:cs="宋体"/>
            </w:rPr>
            <w:t>（三） 用人单位变化趋势</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_Toc9434 </w:instrText>
          </w:r>
          <w:r>
            <w:rPr>
              <w:rFonts w:hint="eastAsia" w:ascii="宋体" w:hAnsi="宋体" w:eastAsia="宋体" w:cs="宋体"/>
            </w:rPr>
            <w:fldChar w:fldCharType="separate"/>
          </w:r>
          <w:r>
            <w:rPr>
              <w:rFonts w:hint="eastAsia" w:ascii="宋体" w:hAnsi="宋体" w:eastAsia="宋体" w:cs="宋体"/>
            </w:rPr>
            <w:t>54</w:t>
          </w:r>
          <w:r>
            <w:rPr>
              <w:rFonts w:hint="eastAsia" w:ascii="宋体" w:hAnsi="宋体" w:eastAsia="宋体" w:cs="宋体"/>
            </w:rPr>
            <w:fldChar w:fldCharType="end"/>
          </w:r>
          <w:r>
            <w:rPr>
              <w:rFonts w:hint="eastAsia" w:ascii="宋体" w:hAnsi="宋体" w:eastAsia="宋体" w:cs="宋体"/>
              <w:szCs w:val="28"/>
            </w:rPr>
            <w:fldChar w:fldCharType="end"/>
          </w:r>
        </w:p>
        <w:p>
          <w:pPr>
            <w:pStyle w:val="9"/>
            <w:tabs>
              <w:tab w:val="right" w:leader="dot" w:pos="8674"/>
            </w:tabs>
            <w:rPr>
              <w:rFonts w:hint="eastAsia" w:ascii="宋体" w:hAnsi="宋体" w:eastAsia="宋体" w:cs="宋体"/>
            </w:rPr>
          </w:pPr>
          <w:r>
            <w:rPr>
              <w:rFonts w:hint="eastAsia" w:ascii="宋体" w:hAnsi="宋体" w:eastAsia="宋体" w:cs="宋体"/>
              <w:szCs w:val="28"/>
            </w:rPr>
            <w:fldChar w:fldCharType="begin"/>
          </w:r>
          <w:r>
            <w:rPr>
              <w:rFonts w:hint="eastAsia" w:ascii="宋体" w:hAnsi="宋体" w:eastAsia="宋体" w:cs="宋体"/>
              <w:szCs w:val="28"/>
            </w:rPr>
            <w:instrText xml:space="preserve"> HYPERLINK \l _Toc17722 </w:instrText>
          </w:r>
          <w:r>
            <w:rPr>
              <w:rFonts w:hint="eastAsia" w:ascii="宋体" w:hAnsi="宋体" w:eastAsia="宋体" w:cs="宋体"/>
              <w:szCs w:val="28"/>
            </w:rPr>
            <w:fldChar w:fldCharType="separate"/>
          </w:r>
          <w:r>
            <w:rPr>
              <w:rFonts w:hint="eastAsia" w:ascii="宋体" w:hAnsi="宋体" w:eastAsia="宋体" w:cs="宋体"/>
            </w:rPr>
            <w:t>（四） 就业地区变化趋势</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_Toc17722 </w:instrText>
          </w:r>
          <w:r>
            <w:rPr>
              <w:rFonts w:hint="eastAsia" w:ascii="宋体" w:hAnsi="宋体" w:eastAsia="宋体" w:cs="宋体"/>
            </w:rPr>
            <w:fldChar w:fldCharType="separate"/>
          </w:r>
          <w:r>
            <w:rPr>
              <w:rFonts w:hint="eastAsia" w:ascii="宋体" w:hAnsi="宋体" w:eastAsia="宋体" w:cs="宋体"/>
            </w:rPr>
            <w:t>55</w:t>
          </w:r>
          <w:r>
            <w:rPr>
              <w:rFonts w:hint="eastAsia" w:ascii="宋体" w:hAnsi="宋体" w:eastAsia="宋体" w:cs="宋体"/>
            </w:rPr>
            <w:fldChar w:fldCharType="end"/>
          </w:r>
          <w:r>
            <w:rPr>
              <w:rFonts w:hint="eastAsia" w:ascii="宋体" w:hAnsi="宋体" w:eastAsia="宋体" w:cs="宋体"/>
              <w:szCs w:val="28"/>
            </w:rPr>
            <w:fldChar w:fldCharType="end"/>
          </w:r>
        </w:p>
        <w:p>
          <w:pPr>
            <w:pStyle w:val="13"/>
            <w:tabs>
              <w:tab w:val="right" w:leader="dot" w:pos="8674"/>
            </w:tabs>
            <w:rPr>
              <w:rFonts w:hint="eastAsia" w:ascii="宋体" w:hAnsi="宋体" w:eastAsia="宋体" w:cs="宋体"/>
            </w:rPr>
          </w:pPr>
          <w:r>
            <w:rPr>
              <w:rFonts w:hint="eastAsia" w:ascii="宋体" w:hAnsi="宋体" w:eastAsia="宋体" w:cs="宋体"/>
              <w:szCs w:val="28"/>
            </w:rPr>
            <w:fldChar w:fldCharType="begin"/>
          </w:r>
          <w:r>
            <w:rPr>
              <w:rFonts w:hint="eastAsia" w:ascii="宋体" w:hAnsi="宋体" w:eastAsia="宋体" w:cs="宋体"/>
              <w:szCs w:val="28"/>
            </w:rPr>
            <w:instrText xml:space="preserve"> HYPERLINK \l _Toc24963 </w:instrText>
          </w:r>
          <w:r>
            <w:rPr>
              <w:rFonts w:hint="eastAsia" w:ascii="宋体" w:hAnsi="宋体" w:eastAsia="宋体" w:cs="宋体"/>
              <w:szCs w:val="28"/>
            </w:rPr>
            <w:fldChar w:fldCharType="separate"/>
          </w:r>
          <w:r>
            <w:rPr>
              <w:rFonts w:hint="eastAsia" w:ascii="宋体" w:hAnsi="宋体" w:eastAsia="宋体" w:cs="宋体"/>
            </w:rPr>
            <w:t>三、 就业质量变化趋势</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_Toc24963 </w:instrText>
          </w:r>
          <w:r>
            <w:rPr>
              <w:rFonts w:hint="eastAsia" w:ascii="宋体" w:hAnsi="宋体" w:eastAsia="宋体" w:cs="宋体"/>
            </w:rPr>
            <w:fldChar w:fldCharType="separate"/>
          </w:r>
          <w:r>
            <w:rPr>
              <w:rFonts w:hint="eastAsia" w:ascii="宋体" w:hAnsi="宋体" w:eastAsia="宋体" w:cs="宋体"/>
            </w:rPr>
            <w:t>56</w:t>
          </w:r>
          <w:r>
            <w:rPr>
              <w:rFonts w:hint="eastAsia" w:ascii="宋体" w:hAnsi="宋体" w:eastAsia="宋体" w:cs="宋体"/>
            </w:rPr>
            <w:fldChar w:fldCharType="end"/>
          </w:r>
          <w:r>
            <w:rPr>
              <w:rFonts w:hint="eastAsia" w:ascii="宋体" w:hAnsi="宋体" w:eastAsia="宋体" w:cs="宋体"/>
              <w:szCs w:val="28"/>
            </w:rPr>
            <w:fldChar w:fldCharType="end"/>
          </w:r>
        </w:p>
        <w:p>
          <w:pPr>
            <w:pStyle w:val="9"/>
            <w:tabs>
              <w:tab w:val="right" w:leader="dot" w:pos="8674"/>
            </w:tabs>
            <w:rPr>
              <w:rFonts w:hint="eastAsia" w:ascii="宋体" w:hAnsi="宋体" w:eastAsia="宋体" w:cs="宋体"/>
            </w:rPr>
          </w:pPr>
          <w:r>
            <w:rPr>
              <w:rFonts w:hint="eastAsia" w:ascii="宋体" w:hAnsi="宋体" w:eastAsia="宋体" w:cs="宋体"/>
              <w:szCs w:val="28"/>
            </w:rPr>
            <w:fldChar w:fldCharType="begin"/>
          </w:r>
          <w:r>
            <w:rPr>
              <w:rFonts w:hint="eastAsia" w:ascii="宋体" w:hAnsi="宋体" w:eastAsia="宋体" w:cs="宋体"/>
              <w:szCs w:val="28"/>
            </w:rPr>
            <w:instrText xml:space="preserve"> HYPERLINK \l _Toc14544 </w:instrText>
          </w:r>
          <w:r>
            <w:rPr>
              <w:rFonts w:hint="eastAsia" w:ascii="宋体" w:hAnsi="宋体" w:eastAsia="宋体" w:cs="宋体"/>
              <w:szCs w:val="28"/>
            </w:rPr>
            <w:fldChar w:fldCharType="separate"/>
          </w:r>
          <w:r>
            <w:rPr>
              <w:rFonts w:hint="eastAsia" w:ascii="宋体" w:hAnsi="宋体" w:eastAsia="宋体" w:cs="宋体"/>
            </w:rPr>
            <w:t>（一） 月收入变化趋势</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_Toc14544 </w:instrText>
          </w:r>
          <w:r>
            <w:rPr>
              <w:rFonts w:hint="eastAsia" w:ascii="宋体" w:hAnsi="宋体" w:eastAsia="宋体" w:cs="宋体"/>
            </w:rPr>
            <w:fldChar w:fldCharType="separate"/>
          </w:r>
          <w:r>
            <w:rPr>
              <w:rFonts w:hint="eastAsia" w:ascii="宋体" w:hAnsi="宋体" w:eastAsia="宋体" w:cs="宋体"/>
            </w:rPr>
            <w:t>56</w:t>
          </w:r>
          <w:r>
            <w:rPr>
              <w:rFonts w:hint="eastAsia" w:ascii="宋体" w:hAnsi="宋体" w:eastAsia="宋体" w:cs="宋体"/>
            </w:rPr>
            <w:fldChar w:fldCharType="end"/>
          </w:r>
          <w:r>
            <w:rPr>
              <w:rFonts w:hint="eastAsia" w:ascii="宋体" w:hAnsi="宋体" w:eastAsia="宋体" w:cs="宋体"/>
              <w:szCs w:val="28"/>
            </w:rPr>
            <w:fldChar w:fldCharType="end"/>
          </w:r>
        </w:p>
        <w:p>
          <w:pPr>
            <w:pStyle w:val="9"/>
            <w:tabs>
              <w:tab w:val="right" w:leader="dot" w:pos="8674"/>
            </w:tabs>
            <w:rPr>
              <w:rFonts w:hint="eastAsia" w:ascii="宋体" w:hAnsi="宋体" w:eastAsia="宋体" w:cs="宋体"/>
            </w:rPr>
          </w:pPr>
          <w:r>
            <w:rPr>
              <w:rFonts w:hint="eastAsia" w:ascii="宋体" w:hAnsi="宋体" w:eastAsia="宋体" w:cs="宋体"/>
              <w:szCs w:val="28"/>
            </w:rPr>
            <w:fldChar w:fldCharType="begin"/>
          </w:r>
          <w:r>
            <w:rPr>
              <w:rFonts w:hint="eastAsia" w:ascii="宋体" w:hAnsi="宋体" w:eastAsia="宋体" w:cs="宋体"/>
              <w:szCs w:val="28"/>
            </w:rPr>
            <w:instrText xml:space="preserve"> HYPERLINK \l _Toc20766 </w:instrText>
          </w:r>
          <w:r>
            <w:rPr>
              <w:rFonts w:hint="eastAsia" w:ascii="宋体" w:hAnsi="宋体" w:eastAsia="宋体" w:cs="宋体"/>
              <w:szCs w:val="28"/>
            </w:rPr>
            <w:fldChar w:fldCharType="separate"/>
          </w:r>
          <w:r>
            <w:rPr>
              <w:rFonts w:hint="eastAsia" w:ascii="宋体" w:hAnsi="宋体" w:eastAsia="宋体" w:cs="宋体"/>
            </w:rPr>
            <w:t>（二） 专业相关度变化趋势</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_Toc20766 </w:instrText>
          </w:r>
          <w:r>
            <w:rPr>
              <w:rFonts w:hint="eastAsia" w:ascii="宋体" w:hAnsi="宋体" w:eastAsia="宋体" w:cs="宋体"/>
            </w:rPr>
            <w:fldChar w:fldCharType="separate"/>
          </w:r>
          <w:r>
            <w:rPr>
              <w:rFonts w:hint="eastAsia" w:ascii="宋体" w:hAnsi="宋体" w:eastAsia="宋体" w:cs="宋体"/>
            </w:rPr>
            <w:t>60</w:t>
          </w:r>
          <w:r>
            <w:rPr>
              <w:rFonts w:hint="eastAsia" w:ascii="宋体" w:hAnsi="宋体" w:eastAsia="宋体" w:cs="宋体"/>
            </w:rPr>
            <w:fldChar w:fldCharType="end"/>
          </w:r>
          <w:r>
            <w:rPr>
              <w:rFonts w:hint="eastAsia" w:ascii="宋体" w:hAnsi="宋体" w:eastAsia="宋体" w:cs="宋体"/>
              <w:szCs w:val="28"/>
            </w:rPr>
            <w:fldChar w:fldCharType="end"/>
          </w:r>
        </w:p>
        <w:p>
          <w:pPr>
            <w:pStyle w:val="9"/>
            <w:tabs>
              <w:tab w:val="right" w:leader="dot" w:pos="8674"/>
            </w:tabs>
            <w:rPr>
              <w:rFonts w:hint="eastAsia" w:ascii="宋体" w:hAnsi="宋体" w:eastAsia="宋体" w:cs="宋体"/>
            </w:rPr>
          </w:pPr>
          <w:r>
            <w:rPr>
              <w:rFonts w:hint="eastAsia" w:ascii="宋体" w:hAnsi="宋体" w:eastAsia="宋体" w:cs="宋体"/>
              <w:szCs w:val="28"/>
            </w:rPr>
            <w:fldChar w:fldCharType="begin"/>
          </w:r>
          <w:r>
            <w:rPr>
              <w:rFonts w:hint="eastAsia" w:ascii="宋体" w:hAnsi="宋体" w:eastAsia="宋体" w:cs="宋体"/>
              <w:szCs w:val="28"/>
            </w:rPr>
            <w:instrText xml:space="preserve"> HYPERLINK \l _Toc1413 </w:instrText>
          </w:r>
          <w:r>
            <w:rPr>
              <w:rFonts w:hint="eastAsia" w:ascii="宋体" w:hAnsi="宋体" w:eastAsia="宋体" w:cs="宋体"/>
              <w:szCs w:val="28"/>
            </w:rPr>
            <w:fldChar w:fldCharType="separate"/>
          </w:r>
          <w:r>
            <w:rPr>
              <w:rFonts w:hint="eastAsia" w:ascii="宋体" w:hAnsi="宋体" w:eastAsia="宋体" w:cs="宋体"/>
            </w:rPr>
            <w:t>（三） 就业现状满意度变化趋势</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_Toc1413 </w:instrText>
          </w:r>
          <w:r>
            <w:rPr>
              <w:rFonts w:hint="eastAsia" w:ascii="宋体" w:hAnsi="宋体" w:eastAsia="宋体" w:cs="宋体"/>
            </w:rPr>
            <w:fldChar w:fldCharType="separate"/>
          </w:r>
          <w:r>
            <w:rPr>
              <w:rFonts w:hint="eastAsia" w:ascii="宋体" w:hAnsi="宋体" w:eastAsia="宋体" w:cs="宋体"/>
            </w:rPr>
            <w:t>63</w:t>
          </w:r>
          <w:r>
            <w:rPr>
              <w:rFonts w:hint="eastAsia" w:ascii="宋体" w:hAnsi="宋体" w:eastAsia="宋体" w:cs="宋体"/>
            </w:rPr>
            <w:fldChar w:fldCharType="end"/>
          </w:r>
          <w:r>
            <w:rPr>
              <w:rFonts w:hint="eastAsia" w:ascii="宋体" w:hAnsi="宋体" w:eastAsia="宋体" w:cs="宋体"/>
              <w:szCs w:val="28"/>
            </w:rPr>
            <w:fldChar w:fldCharType="end"/>
          </w:r>
        </w:p>
        <w:p>
          <w:pPr>
            <w:pStyle w:val="9"/>
            <w:tabs>
              <w:tab w:val="right" w:leader="dot" w:pos="8674"/>
            </w:tabs>
            <w:rPr>
              <w:rFonts w:hint="eastAsia" w:ascii="宋体" w:hAnsi="宋体" w:eastAsia="宋体" w:cs="宋体"/>
            </w:rPr>
          </w:pPr>
          <w:r>
            <w:rPr>
              <w:rFonts w:hint="eastAsia" w:ascii="宋体" w:hAnsi="宋体" w:eastAsia="宋体" w:cs="宋体"/>
              <w:szCs w:val="28"/>
            </w:rPr>
            <w:fldChar w:fldCharType="begin"/>
          </w:r>
          <w:r>
            <w:rPr>
              <w:rFonts w:hint="eastAsia" w:ascii="宋体" w:hAnsi="宋体" w:eastAsia="宋体" w:cs="宋体"/>
              <w:szCs w:val="28"/>
            </w:rPr>
            <w:instrText xml:space="preserve"> HYPERLINK \l _Toc5670 </w:instrText>
          </w:r>
          <w:r>
            <w:rPr>
              <w:rFonts w:hint="eastAsia" w:ascii="宋体" w:hAnsi="宋体" w:eastAsia="宋体" w:cs="宋体"/>
              <w:szCs w:val="28"/>
            </w:rPr>
            <w:fldChar w:fldCharType="separate"/>
          </w:r>
          <w:r>
            <w:rPr>
              <w:rFonts w:hint="eastAsia" w:ascii="宋体" w:hAnsi="宋体" w:eastAsia="宋体" w:cs="宋体"/>
            </w:rPr>
            <w:t>（四） 职业期待吻合度变化趋势</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_Toc5670 </w:instrText>
          </w:r>
          <w:r>
            <w:rPr>
              <w:rFonts w:hint="eastAsia" w:ascii="宋体" w:hAnsi="宋体" w:eastAsia="宋体" w:cs="宋体"/>
            </w:rPr>
            <w:fldChar w:fldCharType="separate"/>
          </w:r>
          <w:r>
            <w:rPr>
              <w:rFonts w:hint="eastAsia" w:ascii="宋体" w:hAnsi="宋体" w:eastAsia="宋体" w:cs="宋体"/>
            </w:rPr>
            <w:t>66</w:t>
          </w:r>
          <w:r>
            <w:rPr>
              <w:rFonts w:hint="eastAsia" w:ascii="宋体" w:hAnsi="宋体" w:eastAsia="宋体" w:cs="宋体"/>
            </w:rPr>
            <w:fldChar w:fldCharType="end"/>
          </w:r>
          <w:r>
            <w:rPr>
              <w:rFonts w:hint="eastAsia" w:ascii="宋体" w:hAnsi="宋体" w:eastAsia="宋体" w:cs="宋体"/>
              <w:szCs w:val="28"/>
            </w:rPr>
            <w:fldChar w:fldCharType="end"/>
          </w:r>
        </w:p>
        <w:p>
          <w:pPr>
            <w:pStyle w:val="12"/>
            <w:tabs>
              <w:tab w:val="right" w:leader="dot" w:pos="8674"/>
            </w:tabs>
            <w:rPr>
              <w:rFonts w:hint="eastAsia" w:ascii="宋体" w:hAnsi="宋体" w:eastAsia="宋体" w:cs="宋体"/>
            </w:rPr>
          </w:pPr>
          <w:r>
            <w:rPr>
              <w:rFonts w:hint="eastAsia" w:ascii="宋体" w:hAnsi="宋体" w:eastAsia="宋体" w:cs="宋体"/>
              <w:szCs w:val="28"/>
            </w:rPr>
            <w:fldChar w:fldCharType="begin"/>
          </w:r>
          <w:r>
            <w:rPr>
              <w:rFonts w:hint="eastAsia" w:ascii="宋体" w:hAnsi="宋体" w:eastAsia="宋体" w:cs="宋体"/>
              <w:szCs w:val="28"/>
            </w:rPr>
            <w:instrText xml:space="preserve"> HYPERLINK \l _Toc17142 </w:instrText>
          </w:r>
          <w:r>
            <w:rPr>
              <w:rFonts w:hint="eastAsia" w:ascii="宋体" w:hAnsi="宋体" w:eastAsia="宋体" w:cs="宋体"/>
              <w:szCs w:val="28"/>
            </w:rPr>
            <w:fldChar w:fldCharType="separate"/>
          </w:r>
          <w:r>
            <w:rPr>
              <w:rFonts w:hint="eastAsia" w:ascii="宋体" w:hAnsi="宋体" w:eastAsia="宋体" w:cs="宋体"/>
            </w:rPr>
            <w:t>第四章 促进毕业生就业工作的主要举措</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_Toc17142 </w:instrText>
          </w:r>
          <w:r>
            <w:rPr>
              <w:rFonts w:hint="eastAsia" w:ascii="宋体" w:hAnsi="宋体" w:eastAsia="宋体" w:cs="宋体"/>
            </w:rPr>
            <w:fldChar w:fldCharType="separate"/>
          </w:r>
          <w:r>
            <w:rPr>
              <w:rFonts w:hint="eastAsia" w:ascii="宋体" w:hAnsi="宋体" w:eastAsia="宋体" w:cs="宋体"/>
            </w:rPr>
            <w:t>68</w:t>
          </w:r>
          <w:r>
            <w:rPr>
              <w:rFonts w:hint="eastAsia" w:ascii="宋体" w:hAnsi="宋体" w:eastAsia="宋体" w:cs="宋体"/>
            </w:rPr>
            <w:fldChar w:fldCharType="end"/>
          </w:r>
          <w:r>
            <w:rPr>
              <w:rFonts w:hint="eastAsia" w:ascii="宋体" w:hAnsi="宋体" w:eastAsia="宋体" w:cs="宋体"/>
              <w:szCs w:val="28"/>
            </w:rPr>
            <w:fldChar w:fldCharType="end"/>
          </w:r>
        </w:p>
        <w:p>
          <w:pPr>
            <w:pStyle w:val="13"/>
            <w:tabs>
              <w:tab w:val="right" w:leader="dot" w:pos="8674"/>
            </w:tabs>
            <w:rPr>
              <w:rFonts w:hint="eastAsia" w:ascii="宋体" w:hAnsi="宋体" w:eastAsia="宋体" w:cs="宋体"/>
            </w:rPr>
          </w:pPr>
          <w:r>
            <w:rPr>
              <w:rFonts w:hint="eastAsia" w:ascii="宋体" w:hAnsi="宋体" w:eastAsia="宋体" w:cs="宋体"/>
              <w:szCs w:val="28"/>
            </w:rPr>
            <w:fldChar w:fldCharType="begin"/>
          </w:r>
          <w:r>
            <w:rPr>
              <w:rFonts w:hint="eastAsia" w:ascii="宋体" w:hAnsi="宋体" w:eastAsia="宋体" w:cs="宋体"/>
              <w:szCs w:val="28"/>
            </w:rPr>
            <w:instrText xml:space="preserve"> HYPERLINK \l _Toc11951 </w:instrText>
          </w:r>
          <w:r>
            <w:rPr>
              <w:rFonts w:hint="eastAsia" w:ascii="宋体" w:hAnsi="宋体" w:eastAsia="宋体" w:cs="宋体"/>
              <w:szCs w:val="28"/>
            </w:rPr>
            <w:fldChar w:fldCharType="separate"/>
          </w:r>
          <w:r>
            <w:rPr>
              <w:rFonts w:hint="eastAsia" w:ascii="宋体" w:hAnsi="宋体" w:eastAsia="宋体" w:cs="宋体"/>
            </w:rPr>
            <w:t>一、 实施“一把手”工程，切实加强对就业工作的领导</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_Toc11951 </w:instrText>
          </w:r>
          <w:r>
            <w:rPr>
              <w:rFonts w:hint="eastAsia" w:ascii="宋体" w:hAnsi="宋体" w:eastAsia="宋体" w:cs="宋体"/>
            </w:rPr>
            <w:fldChar w:fldCharType="separate"/>
          </w:r>
          <w:r>
            <w:rPr>
              <w:rFonts w:hint="eastAsia" w:ascii="宋体" w:hAnsi="宋体" w:eastAsia="宋体" w:cs="宋体"/>
            </w:rPr>
            <w:t>68</w:t>
          </w:r>
          <w:r>
            <w:rPr>
              <w:rFonts w:hint="eastAsia" w:ascii="宋体" w:hAnsi="宋体" w:eastAsia="宋体" w:cs="宋体"/>
            </w:rPr>
            <w:fldChar w:fldCharType="end"/>
          </w:r>
          <w:r>
            <w:rPr>
              <w:rFonts w:hint="eastAsia" w:ascii="宋体" w:hAnsi="宋体" w:eastAsia="宋体" w:cs="宋体"/>
              <w:szCs w:val="28"/>
            </w:rPr>
            <w:fldChar w:fldCharType="end"/>
          </w:r>
        </w:p>
        <w:p>
          <w:pPr>
            <w:pStyle w:val="13"/>
            <w:tabs>
              <w:tab w:val="right" w:leader="dot" w:pos="8674"/>
            </w:tabs>
            <w:rPr>
              <w:rFonts w:hint="eastAsia" w:ascii="宋体" w:hAnsi="宋体" w:eastAsia="宋体" w:cs="宋体"/>
            </w:rPr>
          </w:pPr>
          <w:r>
            <w:rPr>
              <w:rFonts w:hint="eastAsia" w:ascii="宋体" w:hAnsi="宋体" w:eastAsia="宋体" w:cs="宋体"/>
              <w:szCs w:val="28"/>
            </w:rPr>
            <w:fldChar w:fldCharType="begin"/>
          </w:r>
          <w:r>
            <w:rPr>
              <w:rFonts w:hint="eastAsia" w:ascii="宋体" w:hAnsi="宋体" w:eastAsia="宋体" w:cs="宋体"/>
              <w:szCs w:val="28"/>
            </w:rPr>
            <w:instrText xml:space="preserve"> HYPERLINK \l _Toc23610 </w:instrText>
          </w:r>
          <w:r>
            <w:rPr>
              <w:rFonts w:hint="eastAsia" w:ascii="宋体" w:hAnsi="宋体" w:eastAsia="宋体" w:cs="宋体"/>
              <w:szCs w:val="28"/>
            </w:rPr>
            <w:fldChar w:fldCharType="separate"/>
          </w:r>
          <w:r>
            <w:rPr>
              <w:rFonts w:hint="eastAsia" w:ascii="宋体" w:hAnsi="宋体" w:eastAsia="宋体" w:cs="宋体"/>
            </w:rPr>
            <w:t xml:space="preserve">二、 建立就业创业工作考核评估奖励机制 激发就业工作积极性 </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_Toc23610 </w:instrText>
          </w:r>
          <w:r>
            <w:rPr>
              <w:rFonts w:hint="eastAsia" w:ascii="宋体" w:hAnsi="宋体" w:eastAsia="宋体" w:cs="宋体"/>
            </w:rPr>
            <w:fldChar w:fldCharType="separate"/>
          </w:r>
          <w:r>
            <w:rPr>
              <w:rFonts w:hint="eastAsia" w:ascii="宋体" w:hAnsi="宋体" w:eastAsia="宋体" w:cs="宋体"/>
            </w:rPr>
            <w:t>68</w:t>
          </w:r>
          <w:r>
            <w:rPr>
              <w:rFonts w:hint="eastAsia" w:ascii="宋体" w:hAnsi="宋体" w:eastAsia="宋体" w:cs="宋体"/>
            </w:rPr>
            <w:fldChar w:fldCharType="end"/>
          </w:r>
          <w:r>
            <w:rPr>
              <w:rFonts w:hint="eastAsia" w:ascii="宋体" w:hAnsi="宋体" w:eastAsia="宋体" w:cs="宋体"/>
              <w:szCs w:val="28"/>
            </w:rPr>
            <w:fldChar w:fldCharType="end"/>
          </w:r>
        </w:p>
        <w:p>
          <w:pPr>
            <w:pStyle w:val="13"/>
            <w:tabs>
              <w:tab w:val="right" w:leader="dot" w:pos="8674"/>
            </w:tabs>
            <w:rPr>
              <w:rFonts w:hint="eastAsia" w:ascii="宋体" w:hAnsi="宋体" w:eastAsia="宋体" w:cs="宋体"/>
            </w:rPr>
          </w:pPr>
          <w:r>
            <w:rPr>
              <w:rFonts w:hint="eastAsia" w:ascii="宋体" w:hAnsi="宋体" w:eastAsia="宋体" w:cs="宋体"/>
              <w:szCs w:val="28"/>
            </w:rPr>
            <w:fldChar w:fldCharType="begin"/>
          </w:r>
          <w:r>
            <w:rPr>
              <w:rFonts w:hint="eastAsia" w:ascii="宋体" w:hAnsi="宋体" w:eastAsia="宋体" w:cs="宋体"/>
              <w:szCs w:val="28"/>
            </w:rPr>
            <w:instrText xml:space="preserve"> HYPERLINK \l _Toc27618 </w:instrText>
          </w:r>
          <w:r>
            <w:rPr>
              <w:rFonts w:hint="eastAsia" w:ascii="宋体" w:hAnsi="宋体" w:eastAsia="宋体" w:cs="宋体"/>
              <w:szCs w:val="28"/>
            </w:rPr>
            <w:fldChar w:fldCharType="separate"/>
          </w:r>
          <w:r>
            <w:rPr>
              <w:rFonts w:hint="eastAsia" w:ascii="宋体" w:hAnsi="宋体" w:eastAsia="宋体" w:cs="宋体"/>
              <w:lang w:val="zh-CN"/>
            </w:rPr>
            <w:t>三、多途径收集就业信息，多方位拓宽就业渠道</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_Toc27618 </w:instrText>
          </w:r>
          <w:r>
            <w:rPr>
              <w:rFonts w:hint="eastAsia" w:ascii="宋体" w:hAnsi="宋体" w:eastAsia="宋体" w:cs="宋体"/>
            </w:rPr>
            <w:fldChar w:fldCharType="separate"/>
          </w:r>
          <w:r>
            <w:rPr>
              <w:rFonts w:hint="eastAsia" w:ascii="宋体" w:hAnsi="宋体" w:eastAsia="宋体" w:cs="宋体"/>
            </w:rPr>
            <w:t>69</w:t>
          </w:r>
          <w:r>
            <w:rPr>
              <w:rFonts w:hint="eastAsia" w:ascii="宋体" w:hAnsi="宋体" w:eastAsia="宋体" w:cs="宋体"/>
            </w:rPr>
            <w:fldChar w:fldCharType="end"/>
          </w:r>
          <w:r>
            <w:rPr>
              <w:rFonts w:hint="eastAsia" w:ascii="宋体" w:hAnsi="宋体" w:eastAsia="宋体" w:cs="宋体"/>
              <w:szCs w:val="28"/>
            </w:rPr>
            <w:fldChar w:fldCharType="end"/>
          </w:r>
        </w:p>
        <w:p>
          <w:pPr>
            <w:pStyle w:val="9"/>
            <w:tabs>
              <w:tab w:val="right" w:leader="dot" w:pos="8674"/>
            </w:tabs>
            <w:rPr>
              <w:rFonts w:hint="eastAsia" w:ascii="宋体" w:hAnsi="宋体" w:eastAsia="宋体" w:cs="宋体"/>
            </w:rPr>
          </w:pPr>
          <w:r>
            <w:rPr>
              <w:rFonts w:hint="eastAsia" w:ascii="宋体" w:hAnsi="宋体" w:eastAsia="宋体" w:cs="宋体"/>
              <w:szCs w:val="28"/>
            </w:rPr>
            <w:fldChar w:fldCharType="begin"/>
          </w:r>
          <w:r>
            <w:rPr>
              <w:rFonts w:hint="eastAsia" w:ascii="宋体" w:hAnsi="宋体" w:eastAsia="宋体" w:cs="宋体"/>
              <w:szCs w:val="28"/>
            </w:rPr>
            <w:instrText xml:space="preserve"> HYPERLINK \l _Toc29888 </w:instrText>
          </w:r>
          <w:r>
            <w:rPr>
              <w:rFonts w:hint="eastAsia" w:ascii="宋体" w:hAnsi="宋体" w:eastAsia="宋体" w:cs="宋体"/>
              <w:szCs w:val="28"/>
            </w:rPr>
            <w:fldChar w:fldCharType="separate"/>
          </w:r>
          <w:r>
            <w:rPr>
              <w:rFonts w:hint="eastAsia" w:ascii="宋体" w:hAnsi="宋体" w:eastAsia="宋体" w:cs="宋体"/>
              <w:lang w:eastAsia="zh-CN"/>
            </w:rPr>
            <w:t>（一）</w:t>
          </w:r>
          <w:r>
            <w:rPr>
              <w:rFonts w:hint="eastAsia" w:ascii="宋体" w:hAnsi="宋体" w:eastAsia="宋体" w:cs="宋体"/>
            </w:rPr>
            <w:t>积极举办招聘会，促进学生就业</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_Toc29888 </w:instrText>
          </w:r>
          <w:r>
            <w:rPr>
              <w:rFonts w:hint="eastAsia" w:ascii="宋体" w:hAnsi="宋体" w:eastAsia="宋体" w:cs="宋体"/>
            </w:rPr>
            <w:fldChar w:fldCharType="separate"/>
          </w:r>
          <w:r>
            <w:rPr>
              <w:rFonts w:hint="eastAsia" w:ascii="宋体" w:hAnsi="宋体" w:eastAsia="宋体" w:cs="宋体"/>
            </w:rPr>
            <w:t>69</w:t>
          </w:r>
          <w:r>
            <w:rPr>
              <w:rFonts w:hint="eastAsia" w:ascii="宋体" w:hAnsi="宋体" w:eastAsia="宋体" w:cs="宋体"/>
            </w:rPr>
            <w:fldChar w:fldCharType="end"/>
          </w:r>
          <w:r>
            <w:rPr>
              <w:rFonts w:hint="eastAsia" w:ascii="宋体" w:hAnsi="宋体" w:eastAsia="宋体" w:cs="宋体"/>
              <w:szCs w:val="28"/>
            </w:rPr>
            <w:fldChar w:fldCharType="end"/>
          </w:r>
        </w:p>
        <w:p>
          <w:pPr>
            <w:pStyle w:val="9"/>
            <w:tabs>
              <w:tab w:val="right" w:leader="dot" w:pos="8674"/>
            </w:tabs>
            <w:rPr>
              <w:rFonts w:hint="eastAsia" w:ascii="宋体" w:hAnsi="宋体" w:eastAsia="宋体" w:cs="宋体"/>
            </w:rPr>
          </w:pPr>
          <w:r>
            <w:rPr>
              <w:rFonts w:hint="eastAsia" w:ascii="宋体" w:hAnsi="宋体" w:eastAsia="宋体" w:cs="宋体"/>
              <w:szCs w:val="28"/>
            </w:rPr>
            <w:fldChar w:fldCharType="begin"/>
          </w:r>
          <w:r>
            <w:rPr>
              <w:rFonts w:hint="eastAsia" w:ascii="宋体" w:hAnsi="宋体" w:eastAsia="宋体" w:cs="宋体"/>
              <w:szCs w:val="28"/>
            </w:rPr>
            <w:instrText xml:space="preserve"> HYPERLINK \l _Toc28818 </w:instrText>
          </w:r>
          <w:r>
            <w:rPr>
              <w:rFonts w:hint="eastAsia" w:ascii="宋体" w:hAnsi="宋体" w:eastAsia="宋体" w:cs="宋体"/>
              <w:szCs w:val="28"/>
            </w:rPr>
            <w:fldChar w:fldCharType="separate"/>
          </w:r>
          <w:r>
            <w:rPr>
              <w:rFonts w:hint="eastAsia" w:ascii="宋体" w:hAnsi="宋体" w:eastAsia="宋体" w:cs="宋体"/>
              <w:lang w:eastAsia="zh-CN"/>
            </w:rPr>
            <w:t>（二）</w:t>
          </w:r>
          <w:r>
            <w:rPr>
              <w:rFonts w:hint="eastAsia" w:ascii="宋体" w:hAnsi="宋体" w:eastAsia="宋体" w:cs="宋体"/>
            </w:rPr>
            <w:t>引导毕业生到基层服务民众，鼓励毕业生参军入伍报效祖国</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_Toc28818 </w:instrText>
          </w:r>
          <w:r>
            <w:rPr>
              <w:rFonts w:hint="eastAsia" w:ascii="宋体" w:hAnsi="宋体" w:eastAsia="宋体" w:cs="宋体"/>
            </w:rPr>
            <w:fldChar w:fldCharType="separate"/>
          </w:r>
          <w:r>
            <w:rPr>
              <w:rFonts w:hint="eastAsia" w:ascii="宋体" w:hAnsi="宋体" w:eastAsia="宋体" w:cs="宋体"/>
            </w:rPr>
            <w:t>69</w:t>
          </w:r>
          <w:r>
            <w:rPr>
              <w:rFonts w:hint="eastAsia" w:ascii="宋体" w:hAnsi="宋体" w:eastAsia="宋体" w:cs="宋体"/>
            </w:rPr>
            <w:fldChar w:fldCharType="end"/>
          </w:r>
          <w:r>
            <w:rPr>
              <w:rFonts w:hint="eastAsia" w:ascii="宋体" w:hAnsi="宋体" w:eastAsia="宋体" w:cs="宋体"/>
              <w:szCs w:val="28"/>
            </w:rPr>
            <w:fldChar w:fldCharType="end"/>
          </w:r>
        </w:p>
        <w:p>
          <w:pPr>
            <w:pStyle w:val="9"/>
            <w:tabs>
              <w:tab w:val="right" w:leader="dot" w:pos="8674"/>
            </w:tabs>
            <w:rPr>
              <w:rFonts w:hint="eastAsia" w:ascii="宋体" w:hAnsi="宋体" w:eastAsia="宋体" w:cs="宋体"/>
            </w:rPr>
          </w:pPr>
          <w:r>
            <w:rPr>
              <w:rFonts w:hint="eastAsia" w:ascii="宋体" w:hAnsi="宋体" w:eastAsia="宋体" w:cs="宋体"/>
              <w:szCs w:val="28"/>
            </w:rPr>
            <w:fldChar w:fldCharType="begin"/>
          </w:r>
          <w:r>
            <w:rPr>
              <w:rFonts w:hint="eastAsia" w:ascii="宋体" w:hAnsi="宋体" w:eastAsia="宋体" w:cs="宋体"/>
              <w:szCs w:val="28"/>
            </w:rPr>
            <w:instrText xml:space="preserve"> HYPERLINK \l _Toc16395 </w:instrText>
          </w:r>
          <w:r>
            <w:rPr>
              <w:rFonts w:hint="eastAsia" w:ascii="宋体" w:hAnsi="宋体" w:eastAsia="宋体" w:cs="宋体"/>
              <w:szCs w:val="28"/>
            </w:rPr>
            <w:fldChar w:fldCharType="separate"/>
          </w:r>
          <w:r>
            <w:rPr>
              <w:rFonts w:hint="eastAsia" w:ascii="宋体" w:hAnsi="宋体" w:eastAsia="宋体" w:cs="宋体"/>
              <w:lang w:eastAsia="zh-CN"/>
            </w:rPr>
            <w:t>（三）</w:t>
          </w:r>
          <w:r>
            <w:rPr>
              <w:rFonts w:hint="eastAsia" w:ascii="宋体" w:hAnsi="宋体" w:eastAsia="宋体" w:cs="宋体"/>
            </w:rPr>
            <w:t>发挥外字特色，鼓励学生境外就业</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_Toc16395 </w:instrText>
          </w:r>
          <w:r>
            <w:rPr>
              <w:rFonts w:hint="eastAsia" w:ascii="宋体" w:hAnsi="宋体" w:eastAsia="宋体" w:cs="宋体"/>
            </w:rPr>
            <w:fldChar w:fldCharType="separate"/>
          </w:r>
          <w:r>
            <w:rPr>
              <w:rFonts w:hint="eastAsia" w:ascii="宋体" w:hAnsi="宋体" w:eastAsia="宋体" w:cs="宋体"/>
            </w:rPr>
            <w:t>70</w:t>
          </w:r>
          <w:r>
            <w:rPr>
              <w:rFonts w:hint="eastAsia" w:ascii="宋体" w:hAnsi="宋体" w:eastAsia="宋体" w:cs="宋体"/>
            </w:rPr>
            <w:fldChar w:fldCharType="end"/>
          </w:r>
          <w:r>
            <w:rPr>
              <w:rFonts w:hint="eastAsia" w:ascii="宋体" w:hAnsi="宋体" w:eastAsia="宋体" w:cs="宋体"/>
              <w:szCs w:val="28"/>
            </w:rPr>
            <w:fldChar w:fldCharType="end"/>
          </w:r>
        </w:p>
        <w:p>
          <w:pPr>
            <w:pStyle w:val="9"/>
            <w:tabs>
              <w:tab w:val="right" w:leader="dot" w:pos="8674"/>
            </w:tabs>
            <w:rPr>
              <w:rFonts w:hint="eastAsia" w:ascii="宋体" w:hAnsi="宋体" w:eastAsia="宋体" w:cs="宋体"/>
            </w:rPr>
          </w:pPr>
          <w:r>
            <w:rPr>
              <w:rFonts w:hint="eastAsia" w:ascii="宋体" w:hAnsi="宋体" w:eastAsia="宋体" w:cs="宋体"/>
              <w:szCs w:val="28"/>
            </w:rPr>
            <w:fldChar w:fldCharType="begin"/>
          </w:r>
          <w:r>
            <w:rPr>
              <w:rFonts w:hint="eastAsia" w:ascii="宋体" w:hAnsi="宋体" w:eastAsia="宋体" w:cs="宋体"/>
              <w:szCs w:val="28"/>
            </w:rPr>
            <w:instrText xml:space="preserve"> HYPERLINK \l _Toc13898 </w:instrText>
          </w:r>
          <w:r>
            <w:rPr>
              <w:rFonts w:hint="eastAsia" w:ascii="宋体" w:hAnsi="宋体" w:eastAsia="宋体" w:cs="宋体"/>
              <w:szCs w:val="28"/>
            </w:rPr>
            <w:fldChar w:fldCharType="separate"/>
          </w:r>
          <w:r>
            <w:rPr>
              <w:rFonts w:hint="eastAsia" w:ascii="宋体" w:hAnsi="宋体" w:eastAsia="宋体" w:cs="宋体"/>
              <w:lang w:eastAsia="zh-CN"/>
            </w:rPr>
            <w:t>（四）</w:t>
          </w:r>
          <w:r>
            <w:rPr>
              <w:rFonts w:hint="eastAsia" w:ascii="宋体" w:hAnsi="宋体" w:eastAsia="宋体" w:cs="宋体"/>
            </w:rPr>
            <w:t>完善毕业生就业平台建设、加强就业信息化管理</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_Toc13898 </w:instrText>
          </w:r>
          <w:r>
            <w:rPr>
              <w:rFonts w:hint="eastAsia" w:ascii="宋体" w:hAnsi="宋体" w:eastAsia="宋体" w:cs="宋体"/>
            </w:rPr>
            <w:fldChar w:fldCharType="separate"/>
          </w:r>
          <w:r>
            <w:rPr>
              <w:rFonts w:hint="eastAsia" w:ascii="宋体" w:hAnsi="宋体" w:eastAsia="宋体" w:cs="宋体"/>
            </w:rPr>
            <w:t>70</w:t>
          </w:r>
          <w:r>
            <w:rPr>
              <w:rFonts w:hint="eastAsia" w:ascii="宋体" w:hAnsi="宋体" w:eastAsia="宋体" w:cs="宋体"/>
            </w:rPr>
            <w:fldChar w:fldCharType="end"/>
          </w:r>
          <w:r>
            <w:rPr>
              <w:rFonts w:hint="eastAsia" w:ascii="宋体" w:hAnsi="宋体" w:eastAsia="宋体" w:cs="宋体"/>
              <w:szCs w:val="28"/>
            </w:rPr>
            <w:fldChar w:fldCharType="end"/>
          </w:r>
        </w:p>
        <w:p>
          <w:pPr>
            <w:pStyle w:val="13"/>
            <w:tabs>
              <w:tab w:val="right" w:leader="dot" w:pos="8674"/>
            </w:tabs>
            <w:rPr>
              <w:rFonts w:hint="eastAsia" w:ascii="宋体" w:hAnsi="宋体" w:eastAsia="宋体" w:cs="宋体"/>
            </w:rPr>
          </w:pPr>
          <w:r>
            <w:rPr>
              <w:rFonts w:hint="eastAsia" w:ascii="宋体" w:hAnsi="宋体" w:eastAsia="宋体" w:cs="宋体"/>
              <w:szCs w:val="28"/>
            </w:rPr>
            <w:fldChar w:fldCharType="begin"/>
          </w:r>
          <w:r>
            <w:rPr>
              <w:rFonts w:hint="eastAsia" w:ascii="宋体" w:hAnsi="宋体" w:eastAsia="宋体" w:cs="宋体"/>
              <w:szCs w:val="28"/>
            </w:rPr>
            <w:instrText xml:space="preserve"> HYPERLINK \l _Toc23869 </w:instrText>
          </w:r>
          <w:r>
            <w:rPr>
              <w:rFonts w:hint="eastAsia" w:ascii="宋体" w:hAnsi="宋体" w:eastAsia="宋体" w:cs="宋体"/>
              <w:szCs w:val="28"/>
            </w:rPr>
            <w:fldChar w:fldCharType="separate"/>
          </w:r>
          <w:r>
            <w:rPr>
              <w:rFonts w:hint="eastAsia" w:ascii="宋体" w:hAnsi="宋体" w:eastAsia="宋体" w:cs="宋体"/>
              <w:lang w:val="zh-CN"/>
            </w:rPr>
            <w:t>四、积极开展就业创业指导工作、提高就业创业服务水平</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_Toc23869 </w:instrText>
          </w:r>
          <w:r>
            <w:rPr>
              <w:rFonts w:hint="eastAsia" w:ascii="宋体" w:hAnsi="宋体" w:eastAsia="宋体" w:cs="宋体"/>
            </w:rPr>
            <w:fldChar w:fldCharType="separate"/>
          </w:r>
          <w:r>
            <w:rPr>
              <w:rFonts w:hint="eastAsia" w:ascii="宋体" w:hAnsi="宋体" w:eastAsia="宋体" w:cs="宋体"/>
            </w:rPr>
            <w:t>71</w:t>
          </w:r>
          <w:r>
            <w:rPr>
              <w:rFonts w:hint="eastAsia" w:ascii="宋体" w:hAnsi="宋体" w:eastAsia="宋体" w:cs="宋体"/>
            </w:rPr>
            <w:fldChar w:fldCharType="end"/>
          </w:r>
          <w:r>
            <w:rPr>
              <w:rFonts w:hint="eastAsia" w:ascii="宋体" w:hAnsi="宋体" w:eastAsia="宋体" w:cs="宋体"/>
              <w:szCs w:val="28"/>
            </w:rPr>
            <w:fldChar w:fldCharType="end"/>
          </w:r>
        </w:p>
        <w:p>
          <w:pPr>
            <w:pStyle w:val="9"/>
            <w:tabs>
              <w:tab w:val="right" w:leader="dot" w:pos="8674"/>
            </w:tabs>
            <w:rPr>
              <w:rFonts w:hint="eastAsia" w:ascii="宋体" w:hAnsi="宋体" w:eastAsia="宋体" w:cs="宋体"/>
            </w:rPr>
          </w:pPr>
          <w:r>
            <w:rPr>
              <w:rFonts w:hint="eastAsia" w:ascii="宋体" w:hAnsi="宋体" w:eastAsia="宋体" w:cs="宋体"/>
              <w:szCs w:val="28"/>
            </w:rPr>
            <w:fldChar w:fldCharType="begin"/>
          </w:r>
          <w:r>
            <w:rPr>
              <w:rFonts w:hint="eastAsia" w:ascii="宋体" w:hAnsi="宋体" w:eastAsia="宋体" w:cs="宋体"/>
              <w:szCs w:val="28"/>
            </w:rPr>
            <w:instrText xml:space="preserve"> HYPERLINK \l _Toc25663 </w:instrText>
          </w:r>
          <w:r>
            <w:rPr>
              <w:rFonts w:hint="eastAsia" w:ascii="宋体" w:hAnsi="宋体" w:eastAsia="宋体" w:cs="宋体"/>
              <w:szCs w:val="28"/>
            </w:rPr>
            <w:fldChar w:fldCharType="separate"/>
          </w:r>
          <w:r>
            <w:rPr>
              <w:rFonts w:hint="eastAsia" w:ascii="宋体" w:hAnsi="宋体" w:eastAsia="宋体" w:cs="宋体"/>
              <w:lang w:eastAsia="zh-CN"/>
            </w:rPr>
            <w:t>（一）</w:t>
          </w:r>
          <w:r>
            <w:rPr>
              <w:rFonts w:hint="eastAsia" w:ascii="宋体" w:hAnsi="宋体" w:eastAsia="宋体" w:cs="宋体"/>
            </w:rPr>
            <w:t>积极开展就业指导讲座工作，引导毕业生树立正确的就业观念</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_Toc25663 </w:instrText>
          </w:r>
          <w:r>
            <w:rPr>
              <w:rFonts w:hint="eastAsia" w:ascii="宋体" w:hAnsi="宋体" w:eastAsia="宋体" w:cs="宋体"/>
            </w:rPr>
            <w:fldChar w:fldCharType="separate"/>
          </w:r>
          <w:r>
            <w:rPr>
              <w:rFonts w:hint="eastAsia" w:ascii="宋体" w:hAnsi="宋体" w:eastAsia="宋体" w:cs="宋体"/>
            </w:rPr>
            <w:t>71</w:t>
          </w:r>
          <w:r>
            <w:rPr>
              <w:rFonts w:hint="eastAsia" w:ascii="宋体" w:hAnsi="宋体" w:eastAsia="宋体" w:cs="宋体"/>
            </w:rPr>
            <w:fldChar w:fldCharType="end"/>
          </w:r>
          <w:r>
            <w:rPr>
              <w:rFonts w:hint="eastAsia" w:ascii="宋体" w:hAnsi="宋体" w:eastAsia="宋体" w:cs="宋体"/>
              <w:szCs w:val="28"/>
            </w:rPr>
            <w:fldChar w:fldCharType="end"/>
          </w:r>
        </w:p>
        <w:p>
          <w:pPr>
            <w:pStyle w:val="9"/>
            <w:tabs>
              <w:tab w:val="right" w:leader="dot" w:pos="8674"/>
            </w:tabs>
            <w:rPr>
              <w:rFonts w:hint="eastAsia" w:ascii="宋体" w:hAnsi="宋体" w:eastAsia="宋体" w:cs="宋体"/>
            </w:rPr>
          </w:pPr>
          <w:r>
            <w:rPr>
              <w:rFonts w:hint="eastAsia" w:ascii="宋体" w:hAnsi="宋体" w:eastAsia="宋体" w:cs="宋体"/>
              <w:szCs w:val="28"/>
            </w:rPr>
            <w:fldChar w:fldCharType="begin"/>
          </w:r>
          <w:r>
            <w:rPr>
              <w:rFonts w:hint="eastAsia" w:ascii="宋体" w:hAnsi="宋体" w:eastAsia="宋体" w:cs="宋体"/>
              <w:szCs w:val="28"/>
            </w:rPr>
            <w:instrText xml:space="preserve"> HYPERLINK \l _Toc26278 </w:instrText>
          </w:r>
          <w:r>
            <w:rPr>
              <w:rFonts w:hint="eastAsia" w:ascii="宋体" w:hAnsi="宋体" w:eastAsia="宋体" w:cs="宋体"/>
              <w:szCs w:val="28"/>
            </w:rPr>
            <w:fldChar w:fldCharType="separate"/>
          </w:r>
          <w:r>
            <w:rPr>
              <w:rFonts w:hint="eastAsia" w:ascii="宋体" w:hAnsi="宋体" w:eastAsia="宋体" w:cs="宋体"/>
              <w:lang w:eastAsia="zh-CN"/>
            </w:rPr>
            <w:t>（二）改革</w:t>
          </w:r>
          <w:r>
            <w:rPr>
              <w:rFonts w:hint="eastAsia" w:ascii="宋体" w:hAnsi="宋体" w:eastAsia="宋体" w:cs="宋体"/>
            </w:rPr>
            <w:t>《大学生职业发展与就业指导》课程建设</w:t>
          </w:r>
          <w:r>
            <w:rPr>
              <w:rFonts w:hint="eastAsia" w:ascii="宋体" w:hAnsi="宋体" w:eastAsia="宋体" w:cs="宋体"/>
              <w:lang w:eastAsia="zh-CN"/>
            </w:rPr>
            <w:t>，</w:t>
          </w:r>
          <w:r>
            <w:rPr>
              <w:rFonts w:hint="eastAsia" w:ascii="宋体" w:hAnsi="宋体" w:eastAsia="宋体" w:cs="宋体"/>
            </w:rPr>
            <w:t>做好</w:t>
          </w:r>
          <w:r>
            <w:rPr>
              <w:rFonts w:hint="eastAsia" w:ascii="宋体" w:hAnsi="宋体" w:eastAsia="宋体" w:cs="宋体"/>
              <w:lang w:eastAsia="zh-CN"/>
            </w:rPr>
            <w:t>我院学生</w:t>
          </w:r>
          <w:r>
            <w:rPr>
              <w:rFonts w:hint="eastAsia" w:ascii="宋体" w:hAnsi="宋体" w:eastAsia="宋体" w:cs="宋体"/>
            </w:rPr>
            <w:t>职业生涯规划</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_Toc26278 </w:instrText>
          </w:r>
          <w:r>
            <w:rPr>
              <w:rFonts w:hint="eastAsia" w:ascii="宋体" w:hAnsi="宋体" w:eastAsia="宋体" w:cs="宋体"/>
            </w:rPr>
            <w:fldChar w:fldCharType="separate"/>
          </w:r>
          <w:r>
            <w:rPr>
              <w:rFonts w:hint="eastAsia" w:ascii="宋体" w:hAnsi="宋体" w:eastAsia="宋体" w:cs="宋体"/>
            </w:rPr>
            <w:t>72</w:t>
          </w:r>
          <w:r>
            <w:rPr>
              <w:rFonts w:hint="eastAsia" w:ascii="宋体" w:hAnsi="宋体" w:eastAsia="宋体" w:cs="宋体"/>
            </w:rPr>
            <w:fldChar w:fldCharType="end"/>
          </w:r>
          <w:r>
            <w:rPr>
              <w:rFonts w:hint="eastAsia" w:ascii="宋体" w:hAnsi="宋体" w:eastAsia="宋体" w:cs="宋体"/>
              <w:szCs w:val="28"/>
            </w:rPr>
            <w:fldChar w:fldCharType="end"/>
          </w:r>
        </w:p>
        <w:p>
          <w:pPr>
            <w:pStyle w:val="9"/>
            <w:tabs>
              <w:tab w:val="right" w:leader="dot" w:pos="8674"/>
            </w:tabs>
            <w:rPr>
              <w:rFonts w:hint="eastAsia" w:ascii="宋体" w:hAnsi="宋体" w:eastAsia="宋体" w:cs="宋体"/>
            </w:rPr>
          </w:pPr>
          <w:r>
            <w:rPr>
              <w:rFonts w:hint="eastAsia" w:ascii="宋体" w:hAnsi="宋体" w:eastAsia="宋体" w:cs="宋体"/>
              <w:szCs w:val="28"/>
            </w:rPr>
            <w:fldChar w:fldCharType="begin"/>
          </w:r>
          <w:r>
            <w:rPr>
              <w:rFonts w:hint="eastAsia" w:ascii="宋体" w:hAnsi="宋体" w:eastAsia="宋体" w:cs="宋体"/>
              <w:szCs w:val="28"/>
            </w:rPr>
            <w:instrText xml:space="preserve"> HYPERLINK \l _Toc12577 </w:instrText>
          </w:r>
          <w:r>
            <w:rPr>
              <w:rFonts w:hint="eastAsia" w:ascii="宋体" w:hAnsi="宋体" w:eastAsia="宋体" w:cs="宋体"/>
              <w:szCs w:val="28"/>
            </w:rPr>
            <w:fldChar w:fldCharType="separate"/>
          </w:r>
          <w:r>
            <w:rPr>
              <w:rFonts w:hint="eastAsia" w:ascii="宋体" w:hAnsi="宋体" w:eastAsia="宋体" w:cs="宋体"/>
              <w:lang w:val="zh-CN" w:eastAsia="zh-CN"/>
            </w:rPr>
            <w:t>（三）举办毕业生简历比赛，提升学生简历制作能力和水平</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_Toc12577 </w:instrText>
          </w:r>
          <w:r>
            <w:rPr>
              <w:rFonts w:hint="eastAsia" w:ascii="宋体" w:hAnsi="宋体" w:eastAsia="宋体" w:cs="宋体"/>
            </w:rPr>
            <w:fldChar w:fldCharType="separate"/>
          </w:r>
          <w:r>
            <w:rPr>
              <w:rFonts w:hint="eastAsia" w:ascii="宋体" w:hAnsi="宋体" w:eastAsia="宋体" w:cs="宋体"/>
            </w:rPr>
            <w:t>72</w:t>
          </w:r>
          <w:r>
            <w:rPr>
              <w:rFonts w:hint="eastAsia" w:ascii="宋体" w:hAnsi="宋体" w:eastAsia="宋体" w:cs="宋体"/>
            </w:rPr>
            <w:fldChar w:fldCharType="end"/>
          </w:r>
          <w:r>
            <w:rPr>
              <w:rFonts w:hint="eastAsia" w:ascii="宋体" w:hAnsi="宋体" w:eastAsia="宋体" w:cs="宋体"/>
              <w:szCs w:val="28"/>
            </w:rPr>
            <w:fldChar w:fldCharType="end"/>
          </w:r>
        </w:p>
        <w:p>
          <w:pPr>
            <w:pStyle w:val="9"/>
            <w:tabs>
              <w:tab w:val="right" w:leader="dot" w:pos="8674"/>
            </w:tabs>
            <w:rPr>
              <w:rFonts w:hint="eastAsia" w:ascii="宋体" w:hAnsi="宋体" w:eastAsia="宋体" w:cs="宋体"/>
            </w:rPr>
          </w:pPr>
          <w:r>
            <w:rPr>
              <w:rFonts w:hint="eastAsia" w:ascii="宋体" w:hAnsi="宋体" w:eastAsia="宋体" w:cs="宋体"/>
              <w:szCs w:val="28"/>
            </w:rPr>
            <w:fldChar w:fldCharType="begin"/>
          </w:r>
          <w:r>
            <w:rPr>
              <w:rFonts w:hint="eastAsia" w:ascii="宋体" w:hAnsi="宋体" w:eastAsia="宋体" w:cs="宋体"/>
              <w:szCs w:val="28"/>
            </w:rPr>
            <w:instrText xml:space="preserve"> HYPERLINK \l _Toc17184 </w:instrText>
          </w:r>
          <w:r>
            <w:rPr>
              <w:rFonts w:hint="eastAsia" w:ascii="宋体" w:hAnsi="宋体" w:eastAsia="宋体" w:cs="宋体"/>
              <w:szCs w:val="28"/>
            </w:rPr>
            <w:fldChar w:fldCharType="separate"/>
          </w:r>
          <w:r>
            <w:rPr>
              <w:rFonts w:hint="eastAsia" w:ascii="宋体" w:hAnsi="宋体" w:eastAsia="宋体" w:cs="宋体"/>
              <w:lang w:eastAsia="zh-CN"/>
            </w:rPr>
            <w:t>（四）</w:t>
          </w:r>
          <w:r>
            <w:rPr>
              <w:rFonts w:hint="eastAsia" w:ascii="宋体" w:hAnsi="宋体" w:eastAsia="宋体" w:cs="宋体"/>
            </w:rPr>
            <w:t>提高就业创业工作队伍的业务能力，激发就业创业队伍的工</w:t>
          </w:r>
          <w:r>
            <w:rPr>
              <w:rFonts w:hint="eastAsia" w:ascii="宋体" w:hAnsi="宋体" w:eastAsia="宋体" w:cs="宋体"/>
              <w:lang w:eastAsia="zh-CN"/>
            </w:rPr>
            <w:t>作积极性</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_Toc17184 </w:instrText>
          </w:r>
          <w:r>
            <w:rPr>
              <w:rFonts w:hint="eastAsia" w:ascii="宋体" w:hAnsi="宋体" w:eastAsia="宋体" w:cs="宋体"/>
            </w:rPr>
            <w:fldChar w:fldCharType="separate"/>
          </w:r>
          <w:r>
            <w:rPr>
              <w:rFonts w:hint="eastAsia" w:ascii="宋体" w:hAnsi="宋体" w:eastAsia="宋体" w:cs="宋体"/>
            </w:rPr>
            <w:t>73</w:t>
          </w:r>
          <w:r>
            <w:rPr>
              <w:rFonts w:hint="eastAsia" w:ascii="宋体" w:hAnsi="宋体" w:eastAsia="宋体" w:cs="宋体"/>
            </w:rPr>
            <w:fldChar w:fldCharType="end"/>
          </w:r>
          <w:r>
            <w:rPr>
              <w:rFonts w:hint="eastAsia" w:ascii="宋体" w:hAnsi="宋体" w:eastAsia="宋体" w:cs="宋体"/>
              <w:szCs w:val="28"/>
            </w:rPr>
            <w:fldChar w:fldCharType="end"/>
          </w:r>
        </w:p>
        <w:p>
          <w:pPr>
            <w:pStyle w:val="9"/>
            <w:tabs>
              <w:tab w:val="right" w:leader="dot" w:pos="8674"/>
            </w:tabs>
            <w:rPr>
              <w:rFonts w:hint="eastAsia" w:ascii="宋体" w:hAnsi="宋体" w:eastAsia="宋体" w:cs="宋体"/>
            </w:rPr>
          </w:pPr>
          <w:r>
            <w:rPr>
              <w:rFonts w:hint="eastAsia" w:ascii="宋体" w:hAnsi="宋体" w:eastAsia="宋体" w:cs="宋体"/>
              <w:szCs w:val="28"/>
            </w:rPr>
            <w:fldChar w:fldCharType="begin"/>
          </w:r>
          <w:r>
            <w:rPr>
              <w:rFonts w:hint="eastAsia" w:ascii="宋体" w:hAnsi="宋体" w:eastAsia="宋体" w:cs="宋体"/>
              <w:szCs w:val="28"/>
            </w:rPr>
            <w:instrText xml:space="preserve"> HYPERLINK \l _Toc14407 </w:instrText>
          </w:r>
          <w:r>
            <w:rPr>
              <w:rFonts w:hint="eastAsia" w:ascii="宋体" w:hAnsi="宋体" w:eastAsia="宋体" w:cs="宋体"/>
              <w:szCs w:val="28"/>
            </w:rPr>
            <w:fldChar w:fldCharType="separate"/>
          </w:r>
          <w:r>
            <w:rPr>
              <w:rFonts w:hint="eastAsia" w:ascii="宋体" w:hAnsi="宋体" w:eastAsia="宋体" w:cs="宋体"/>
              <w:lang w:eastAsia="zh-CN"/>
            </w:rPr>
            <w:t>（五）印制毕业生就业服务手册，做好就业政策宣传工作</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_Toc14407 </w:instrText>
          </w:r>
          <w:r>
            <w:rPr>
              <w:rFonts w:hint="eastAsia" w:ascii="宋体" w:hAnsi="宋体" w:eastAsia="宋体" w:cs="宋体"/>
            </w:rPr>
            <w:fldChar w:fldCharType="separate"/>
          </w:r>
          <w:r>
            <w:rPr>
              <w:rFonts w:hint="eastAsia" w:ascii="宋体" w:hAnsi="宋体" w:eastAsia="宋体" w:cs="宋体"/>
            </w:rPr>
            <w:t>73</w:t>
          </w:r>
          <w:r>
            <w:rPr>
              <w:rFonts w:hint="eastAsia" w:ascii="宋体" w:hAnsi="宋体" w:eastAsia="宋体" w:cs="宋体"/>
            </w:rPr>
            <w:fldChar w:fldCharType="end"/>
          </w:r>
          <w:r>
            <w:rPr>
              <w:rFonts w:hint="eastAsia" w:ascii="宋体" w:hAnsi="宋体" w:eastAsia="宋体" w:cs="宋体"/>
              <w:szCs w:val="28"/>
            </w:rPr>
            <w:fldChar w:fldCharType="end"/>
          </w:r>
        </w:p>
        <w:p>
          <w:pPr>
            <w:pStyle w:val="9"/>
            <w:tabs>
              <w:tab w:val="right" w:leader="dot" w:pos="8674"/>
            </w:tabs>
            <w:rPr>
              <w:rFonts w:hint="eastAsia" w:ascii="宋体" w:hAnsi="宋体" w:eastAsia="宋体" w:cs="宋体"/>
            </w:rPr>
          </w:pPr>
          <w:r>
            <w:rPr>
              <w:rFonts w:hint="eastAsia" w:ascii="宋体" w:hAnsi="宋体" w:eastAsia="宋体" w:cs="宋体"/>
              <w:szCs w:val="28"/>
            </w:rPr>
            <w:fldChar w:fldCharType="begin"/>
          </w:r>
          <w:r>
            <w:rPr>
              <w:rFonts w:hint="eastAsia" w:ascii="宋体" w:hAnsi="宋体" w:eastAsia="宋体" w:cs="宋体"/>
              <w:szCs w:val="28"/>
            </w:rPr>
            <w:instrText xml:space="preserve"> HYPERLINK \l _Toc3580 </w:instrText>
          </w:r>
          <w:r>
            <w:rPr>
              <w:rFonts w:hint="eastAsia" w:ascii="宋体" w:hAnsi="宋体" w:eastAsia="宋体" w:cs="宋体"/>
              <w:szCs w:val="28"/>
            </w:rPr>
            <w:fldChar w:fldCharType="separate"/>
          </w:r>
          <w:r>
            <w:rPr>
              <w:rFonts w:hint="eastAsia" w:ascii="宋体" w:hAnsi="宋体" w:eastAsia="宋体" w:cs="宋体"/>
              <w:lang w:eastAsia="zh-CN"/>
            </w:rPr>
            <w:t>（六）</w:t>
          </w:r>
          <w:r>
            <w:rPr>
              <w:rFonts w:hint="eastAsia" w:ascii="宋体" w:hAnsi="宋体" w:eastAsia="宋体" w:cs="宋体"/>
            </w:rPr>
            <w:t>加大就业帮扶力度，完善困难毕业生就业帮扶机制</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_Toc3580 </w:instrText>
          </w:r>
          <w:r>
            <w:rPr>
              <w:rFonts w:hint="eastAsia" w:ascii="宋体" w:hAnsi="宋体" w:eastAsia="宋体" w:cs="宋体"/>
            </w:rPr>
            <w:fldChar w:fldCharType="separate"/>
          </w:r>
          <w:r>
            <w:rPr>
              <w:rFonts w:hint="eastAsia" w:ascii="宋体" w:hAnsi="宋体" w:eastAsia="宋体" w:cs="宋体"/>
            </w:rPr>
            <w:t>74</w:t>
          </w:r>
          <w:r>
            <w:rPr>
              <w:rFonts w:hint="eastAsia" w:ascii="宋体" w:hAnsi="宋体" w:eastAsia="宋体" w:cs="宋体"/>
            </w:rPr>
            <w:fldChar w:fldCharType="end"/>
          </w:r>
          <w:r>
            <w:rPr>
              <w:rFonts w:hint="eastAsia" w:ascii="宋体" w:hAnsi="宋体" w:eastAsia="宋体" w:cs="宋体"/>
              <w:szCs w:val="28"/>
            </w:rPr>
            <w:fldChar w:fldCharType="end"/>
          </w:r>
        </w:p>
        <w:p>
          <w:pPr>
            <w:pStyle w:val="13"/>
            <w:tabs>
              <w:tab w:val="right" w:leader="dot" w:pos="8674"/>
            </w:tabs>
            <w:rPr>
              <w:rFonts w:hint="eastAsia" w:ascii="宋体" w:hAnsi="宋体" w:eastAsia="宋体" w:cs="宋体"/>
            </w:rPr>
          </w:pPr>
          <w:r>
            <w:rPr>
              <w:rFonts w:hint="eastAsia" w:ascii="宋体" w:hAnsi="宋体" w:eastAsia="宋体" w:cs="宋体"/>
              <w:szCs w:val="28"/>
            </w:rPr>
            <w:fldChar w:fldCharType="begin"/>
          </w:r>
          <w:r>
            <w:rPr>
              <w:rFonts w:hint="eastAsia" w:ascii="宋体" w:hAnsi="宋体" w:eastAsia="宋体" w:cs="宋体"/>
              <w:szCs w:val="28"/>
            </w:rPr>
            <w:instrText xml:space="preserve"> HYPERLINK \l _Toc15265 </w:instrText>
          </w:r>
          <w:r>
            <w:rPr>
              <w:rFonts w:hint="eastAsia" w:ascii="宋体" w:hAnsi="宋体" w:eastAsia="宋体" w:cs="宋体"/>
              <w:szCs w:val="28"/>
            </w:rPr>
            <w:fldChar w:fldCharType="separate"/>
          </w:r>
          <w:r>
            <w:rPr>
              <w:rFonts w:hint="eastAsia" w:ascii="宋体" w:hAnsi="宋体" w:eastAsia="宋体" w:cs="宋体"/>
              <w:lang w:val="zh-CN"/>
            </w:rPr>
            <w:t>五、建设就业创业咨询室</w:t>
          </w:r>
          <w:r>
            <w:rPr>
              <w:rFonts w:hint="eastAsia" w:ascii="宋体" w:hAnsi="宋体" w:eastAsia="宋体" w:cs="宋体"/>
              <w:lang w:val="zh-CN" w:eastAsia="zh-CN"/>
            </w:rPr>
            <w:t>、</w:t>
          </w:r>
          <w:r>
            <w:rPr>
              <w:rFonts w:hint="eastAsia" w:ascii="宋体" w:hAnsi="宋体" w:eastAsia="宋体" w:cs="宋体"/>
              <w:lang w:val="zh-CN"/>
            </w:rPr>
            <w:t>就业招聘室和就业洽谈室</w:t>
          </w:r>
          <w:r>
            <w:rPr>
              <w:rFonts w:hint="eastAsia" w:ascii="宋体" w:hAnsi="宋体" w:eastAsia="宋体" w:cs="宋体"/>
              <w:lang w:val="zh-CN" w:eastAsia="zh-CN"/>
            </w:rPr>
            <w:t>等活动场所，解决我院</w:t>
          </w:r>
          <w:r>
            <w:rPr>
              <w:rFonts w:hint="eastAsia" w:ascii="宋体" w:hAnsi="宋体" w:eastAsia="宋体" w:cs="宋体"/>
              <w:lang w:val="zh-CN"/>
            </w:rPr>
            <w:t>就业活动场地不足问题</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_Toc15265 </w:instrText>
          </w:r>
          <w:r>
            <w:rPr>
              <w:rFonts w:hint="eastAsia" w:ascii="宋体" w:hAnsi="宋体" w:eastAsia="宋体" w:cs="宋体"/>
            </w:rPr>
            <w:fldChar w:fldCharType="separate"/>
          </w:r>
          <w:r>
            <w:rPr>
              <w:rFonts w:hint="eastAsia" w:ascii="宋体" w:hAnsi="宋体" w:eastAsia="宋体" w:cs="宋体"/>
            </w:rPr>
            <w:t>74</w:t>
          </w:r>
          <w:r>
            <w:rPr>
              <w:rFonts w:hint="eastAsia" w:ascii="宋体" w:hAnsi="宋体" w:eastAsia="宋体" w:cs="宋体"/>
            </w:rPr>
            <w:fldChar w:fldCharType="end"/>
          </w:r>
          <w:r>
            <w:rPr>
              <w:rFonts w:hint="eastAsia" w:ascii="宋体" w:hAnsi="宋体" w:eastAsia="宋体" w:cs="宋体"/>
              <w:szCs w:val="28"/>
            </w:rPr>
            <w:fldChar w:fldCharType="end"/>
          </w:r>
        </w:p>
        <w:p>
          <w:pPr>
            <w:pStyle w:val="13"/>
            <w:tabs>
              <w:tab w:val="right" w:leader="dot" w:pos="8674"/>
            </w:tabs>
            <w:rPr>
              <w:rFonts w:hint="eastAsia" w:ascii="宋体" w:hAnsi="宋体" w:eastAsia="宋体" w:cs="宋体"/>
            </w:rPr>
          </w:pPr>
          <w:r>
            <w:rPr>
              <w:rFonts w:hint="eastAsia" w:ascii="宋体" w:hAnsi="宋体" w:eastAsia="宋体" w:cs="宋体"/>
              <w:szCs w:val="28"/>
            </w:rPr>
            <w:fldChar w:fldCharType="begin"/>
          </w:r>
          <w:r>
            <w:rPr>
              <w:rFonts w:hint="eastAsia" w:ascii="宋体" w:hAnsi="宋体" w:eastAsia="宋体" w:cs="宋体"/>
              <w:szCs w:val="28"/>
            </w:rPr>
            <w:instrText xml:space="preserve"> HYPERLINK \l _Toc22216 </w:instrText>
          </w:r>
          <w:r>
            <w:rPr>
              <w:rFonts w:hint="eastAsia" w:ascii="宋体" w:hAnsi="宋体" w:eastAsia="宋体" w:cs="宋体"/>
              <w:szCs w:val="28"/>
            </w:rPr>
            <w:fldChar w:fldCharType="separate"/>
          </w:r>
          <w:r>
            <w:rPr>
              <w:rFonts w:hint="eastAsia" w:ascii="宋体" w:hAnsi="宋体" w:eastAsia="宋体" w:cs="宋体"/>
              <w:lang w:val="zh-CN"/>
            </w:rPr>
            <w:t>六、加强创新创业培训，大力发展创新创业实践活动</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_Toc22216 </w:instrText>
          </w:r>
          <w:r>
            <w:rPr>
              <w:rFonts w:hint="eastAsia" w:ascii="宋体" w:hAnsi="宋体" w:eastAsia="宋体" w:cs="宋体"/>
            </w:rPr>
            <w:fldChar w:fldCharType="separate"/>
          </w:r>
          <w:r>
            <w:rPr>
              <w:rFonts w:hint="eastAsia" w:ascii="宋体" w:hAnsi="宋体" w:eastAsia="宋体" w:cs="宋体"/>
            </w:rPr>
            <w:t>74</w:t>
          </w:r>
          <w:r>
            <w:rPr>
              <w:rFonts w:hint="eastAsia" w:ascii="宋体" w:hAnsi="宋体" w:eastAsia="宋体" w:cs="宋体"/>
            </w:rPr>
            <w:fldChar w:fldCharType="end"/>
          </w:r>
          <w:r>
            <w:rPr>
              <w:rFonts w:hint="eastAsia" w:ascii="宋体" w:hAnsi="宋体" w:eastAsia="宋体" w:cs="宋体"/>
              <w:szCs w:val="28"/>
            </w:rPr>
            <w:fldChar w:fldCharType="end"/>
          </w:r>
        </w:p>
        <w:p>
          <w:pPr>
            <w:pStyle w:val="9"/>
            <w:tabs>
              <w:tab w:val="right" w:leader="dot" w:pos="8674"/>
            </w:tabs>
            <w:rPr>
              <w:rFonts w:hint="eastAsia" w:ascii="宋体" w:hAnsi="宋体" w:eastAsia="宋体" w:cs="宋体"/>
            </w:rPr>
          </w:pPr>
          <w:r>
            <w:rPr>
              <w:rFonts w:hint="eastAsia" w:ascii="宋体" w:hAnsi="宋体" w:eastAsia="宋体" w:cs="宋体"/>
              <w:szCs w:val="28"/>
            </w:rPr>
            <w:fldChar w:fldCharType="begin"/>
          </w:r>
          <w:r>
            <w:rPr>
              <w:rFonts w:hint="eastAsia" w:ascii="宋体" w:hAnsi="宋体" w:eastAsia="宋体" w:cs="宋体"/>
              <w:szCs w:val="28"/>
            </w:rPr>
            <w:instrText xml:space="preserve"> HYPERLINK \l _Toc5564 </w:instrText>
          </w:r>
          <w:r>
            <w:rPr>
              <w:rFonts w:hint="eastAsia" w:ascii="宋体" w:hAnsi="宋体" w:eastAsia="宋体" w:cs="宋体"/>
              <w:szCs w:val="28"/>
            </w:rPr>
            <w:fldChar w:fldCharType="separate"/>
          </w:r>
          <w:r>
            <w:rPr>
              <w:rFonts w:hint="eastAsia" w:ascii="宋体" w:hAnsi="宋体" w:eastAsia="宋体" w:cs="宋体"/>
              <w:lang w:eastAsia="zh-CN"/>
            </w:rPr>
            <w:t>（一）</w:t>
          </w:r>
          <w:r>
            <w:rPr>
              <w:rFonts w:hint="eastAsia" w:ascii="宋体" w:hAnsi="宋体" w:eastAsia="宋体" w:cs="宋体"/>
            </w:rPr>
            <w:t>加强创业培训，提升学生创新创业能力</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_Toc5564 </w:instrText>
          </w:r>
          <w:r>
            <w:rPr>
              <w:rFonts w:hint="eastAsia" w:ascii="宋体" w:hAnsi="宋体" w:eastAsia="宋体" w:cs="宋体"/>
            </w:rPr>
            <w:fldChar w:fldCharType="separate"/>
          </w:r>
          <w:r>
            <w:rPr>
              <w:rFonts w:hint="eastAsia" w:ascii="宋体" w:hAnsi="宋体" w:eastAsia="宋体" w:cs="宋体"/>
            </w:rPr>
            <w:t>74</w:t>
          </w:r>
          <w:r>
            <w:rPr>
              <w:rFonts w:hint="eastAsia" w:ascii="宋体" w:hAnsi="宋体" w:eastAsia="宋体" w:cs="宋体"/>
            </w:rPr>
            <w:fldChar w:fldCharType="end"/>
          </w:r>
          <w:r>
            <w:rPr>
              <w:rFonts w:hint="eastAsia" w:ascii="宋体" w:hAnsi="宋体" w:eastAsia="宋体" w:cs="宋体"/>
              <w:szCs w:val="28"/>
            </w:rPr>
            <w:fldChar w:fldCharType="end"/>
          </w:r>
        </w:p>
        <w:p>
          <w:pPr>
            <w:pStyle w:val="9"/>
            <w:tabs>
              <w:tab w:val="right" w:leader="dot" w:pos="8674"/>
            </w:tabs>
            <w:rPr>
              <w:rFonts w:hint="eastAsia" w:ascii="宋体" w:hAnsi="宋体" w:eastAsia="宋体" w:cs="宋体"/>
            </w:rPr>
          </w:pPr>
          <w:r>
            <w:rPr>
              <w:rFonts w:hint="eastAsia" w:ascii="宋体" w:hAnsi="宋体" w:eastAsia="宋体" w:cs="宋体"/>
              <w:szCs w:val="28"/>
            </w:rPr>
            <w:fldChar w:fldCharType="begin"/>
          </w:r>
          <w:r>
            <w:rPr>
              <w:rFonts w:hint="eastAsia" w:ascii="宋体" w:hAnsi="宋体" w:eastAsia="宋体" w:cs="宋体"/>
              <w:szCs w:val="28"/>
            </w:rPr>
            <w:instrText xml:space="preserve"> HYPERLINK \l _Toc30247 </w:instrText>
          </w:r>
          <w:r>
            <w:rPr>
              <w:rFonts w:hint="eastAsia" w:ascii="宋体" w:hAnsi="宋体" w:eastAsia="宋体" w:cs="宋体"/>
              <w:szCs w:val="28"/>
            </w:rPr>
            <w:fldChar w:fldCharType="separate"/>
          </w:r>
          <w:r>
            <w:rPr>
              <w:rFonts w:hint="eastAsia" w:ascii="宋体" w:hAnsi="宋体" w:eastAsia="宋体" w:cs="宋体"/>
              <w:lang w:eastAsia="zh-CN"/>
            </w:rPr>
            <w:t>（二）</w:t>
          </w:r>
          <w:r>
            <w:rPr>
              <w:rFonts w:hint="eastAsia" w:ascii="宋体" w:hAnsi="宋体" w:eastAsia="宋体" w:cs="宋体"/>
            </w:rPr>
            <w:t>积极举办创新创业大赛，提高创新创业水平</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_Toc30247 </w:instrText>
          </w:r>
          <w:r>
            <w:rPr>
              <w:rFonts w:hint="eastAsia" w:ascii="宋体" w:hAnsi="宋体" w:eastAsia="宋体" w:cs="宋体"/>
            </w:rPr>
            <w:fldChar w:fldCharType="separate"/>
          </w:r>
          <w:r>
            <w:rPr>
              <w:rFonts w:hint="eastAsia" w:ascii="宋体" w:hAnsi="宋体" w:eastAsia="宋体" w:cs="宋体"/>
            </w:rPr>
            <w:t>75</w:t>
          </w:r>
          <w:r>
            <w:rPr>
              <w:rFonts w:hint="eastAsia" w:ascii="宋体" w:hAnsi="宋体" w:eastAsia="宋体" w:cs="宋体"/>
            </w:rPr>
            <w:fldChar w:fldCharType="end"/>
          </w:r>
          <w:r>
            <w:rPr>
              <w:rFonts w:hint="eastAsia" w:ascii="宋体" w:hAnsi="宋体" w:eastAsia="宋体" w:cs="宋体"/>
              <w:szCs w:val="28"/>
            </w:rPr>
            <w:fldChar w:fldCharType="end"/>
          </w:r>
        </w:p>
        <w:p>
          <w:pPr>
            <w:pStyle w:val="9"/>
            <w:tabs>
              <w:tab w:val="right" w:leader="dot" w:pos="8674"/>
            </w:tabs>
            <w:rPr>
              <w:rFonts w:hint="eastAsia" w:ascii="宋体" w:hAnsi="宋体" w:eastAsia="宋体" w:cs="宋体"/>
            </w:rPr>
          </w:pPr>
          <w:r>
            <w:rPr>
              <w:rFonts w:hint="eastAsia" w:ascii="宋体" w:hAnsi="宋体" w:eastAsia="宋体" w:cs="宋体"/>
              <w:szCs w:val="28"/>
            </w:rPr>
            <w:fldChar w:fldCharType="begin"/>
          </w:r>
          <w:r>
            <w:rPr>
              <w:rFonts w:hint="eastAsia" w:ascii="宋体" w:hAnsi="宋体" w:eastAsia="宋体" w:cs="宋体"/>
              <w:szCs w:val="28"/>
            </w:rPr>
            <w:instrText xml:space="preserve"> HYPERLINK \l _Toc14740 </w:instrText>
          </w:r>
          <w:r>
            <w:rPr>
              <w:rFonts w:hint="eastAsia" w:ascii="宋体" w:hAnsi="宋体" w:eastAsia="宋体" w:cs="宋体"/>
              <w:szCs w:val="28"/>
            </w:rPr>
            <w:fldChar w:fldCharType="separate"/>
          </w:r>
          <w:r>
            <w:rPr>
              <w:rFonts w:hint="eastAsia" w:ascii="宋体" w:hAnsi="宋体" w:eastAsia="宋体" w:cs="宋体"/>
              <w:lang w:eastAsia="zh-CN"/>
            </w:rPr>
            <w:t>（三）</w:t>
          </w:r>
          <w:r>
            <w:rPr>
              <w:rFonts w:hint="eastAsia" w:ascii="宋体" w:hAnsi="宋体" w:eastAsia="宋体" w:cs="宋体"/>
            </w:rPr>
            <w:t>优化创业孵化基地，帮助学生实现创业梦想</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_Toc14740 </w:instrText>
          </w:r>
          <w:r>
            <w:rPr>
              <w:rFonts w:hint="eastAsia" w:ascii="宋体" w:hAnsi="宋体" w:eastAsia="宋体" w:cs="宋体"/>
            </w:rPr>
            <w:fldChar w:fldCharType="separate"/>
          </w:r>
          <w:r>
            <w:rPr>
              <w:rFonts w:hint="eastAsia" w:ascii="宋体" w:hAnsi="宋体" w:eastAsia="宋体" w:cs="宋体"/>
            </w:rPr>
            <w:t>75</w:t>
          </w:r>
          <w:r>
            <w:rPr>
              <w:rFonts w:hint="eastAsia" w:ascii="宋体" w:hAnsi="宋体" w:eastAsia="宋体" w:cs="宋体"/>
            </w:rPr>
            <w:fldChar w:fldCharType="end"/>
          </w:r>
          <w:r>
            <w:rPr>
              <w:rFonts w:hint="eastAsia" w:ascii="宋体" w:hAnsi="宋体" w:eastAsia="宋体" w:cs="宋体"/>
              <w:szCs w:val="28"/>
            </w:rPr>
            <w:fldChar w:fldCharType="end"/>
          </w:r>
        </w:p>
        <w:p>
          <w:pPr>
            <w:pStyle w:val="9"/>
            <w:tabs>
              <w:tab w:val="right" w:leader="dot" w:pos="8674"/>
            </w:tabs>
            <w:rPr>
              <w:rFonts w:hint="eastAsia" w:ascii="宋体" w:hAnsi="宋体" w:eastAsia="宋体" w:cs="宋体"/>
            </w:rPr>
          </w:pPr>
          <w:r>
            <w:rPr>
              <w:rFonts w:hint="eastAsia" w:ascii="宋体" w:hAnsi="宋体" w:eastAsia="宋体" w:cs="宋体"/>
              <w:szCs w:val="28"/>
            </w:rPr>
            <w:fldChar w:fldCharType="begin"/>
          </w:r>
          <w:r>
            <w:rPr>
              <w:rFonts w:hint="eastAsia" w:ascii="宋体" w:hAnsi="宋体" w:eastAsia="宋体" w:cs="宋体"/>
              <w:szCs w:val="28"/>
            </w:rPr>
            <w:instrText xml:space="preserve"> HYPERLINK \l _Toc28545 </w:instrText>
          </w:r>
          <w:r>
            <w:rPr>
              <w:rFonts w:hint="eastAsia" w:ascii="宋体" w:hAnsi="宋体" w:eastAsia="宋体" w:cs="宋体"/>
              <w:szCs w:val="28"/>
            </w:rPr>
            <w:fldChar w:fldCharType="separate"/>
          </w:r>
          <w:r>
            <w:rPr>
              <w:rFonts w:hint="eastAsia" w:ascii="宋体" w:hAnsi="宋体" w:eastAsia="宋体" w:cs="宋体"/>
              <w:lang w:val="en-US" w:eastAsia="zh-CN"/>
            </w:rPr>
            <w:t>（四）汇集校友力量，共享互惠资源</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_Toc28545 </w:instrText>
          </w:r>
          <w:r>
            <w:rPr>
              <w:rFonts w:hint="eastAsia" w:ascii="宋体" w:hAnsi="宋体" w:eastAsia="宋体" w:cs="宋体"/>
            </w:rPr>
            <w:fldChar w:fldCharType="separate"/>
          </w:r>
          <w:r>
            <w:rPr>
              <w:rFonts w:hint="eastAsia" w:ascii="宋体" w:hAnsi="宋体" w:eastAsia="宋体" w:cs="宋体"/>
            </w:rPr>
            <w:t>75</w:t>
          </w:r>
          <w:r>
            <w:rPr>
              <w:rFonts w:hint="eastAsia" w:ascii="宋体" w:hAnsi="宋体" w:eastAsia="宋体" w:cs="宋体"/>
            </w:rPr>
            <w:fldChar w:fldCharType="end"/>
          </w:r>
          <w:r>
            <w:rPr>
              <w:rFonts w:hint="eastAsia" w:ascii="宋体" w:hAnsi="宋体" w:eastAsia="宋体" w:cs="宋体"/>
              <w:szCs w:val="28"/>
            </w:rPr>
            <w:fldChar w:fldCharType="end"/>
          </w:r>
        </w:p>
        <w:p>
          <w:pPr>
            <w:pStyle w:val="12"/>
            <w:tabs>
              <w:tab w:val="right" w:leader="dot" w:pos="8674"/>
            </w:tabs>
            <w:rPr>
              <w:rFonts w:hint="eastAsia" w:ascii="宋体" w:hAnsi="宋体" w:eastAsia="宋体" w:cs="宋体"/>
            </w:rPr>
          </w:pPr>
          <w:r>
            <w:rPr>
              <w:rFonts w:hint="eastAsia" w:ascii="宋体" w:hAnsi="宋体" w:eastAsia="宋体" w:cs="宋体"/>
              <w:szCs w:val="28"/>
            </w:rPr>
            <w:fldChar w:fldCharType="begin"/>
          </w:r>
          <w:r>
            <w:rPr>
              <w:rFonts w:hint="eastAsia" w:ascii="宋体" w:hAnsi="宋体" w:eastAsia="宋体" w:cs="宋体"/>
              <w:szCs w:val="28"/>
            </w:rPr>
            <w:instrText xml:space="preserve"> HYPERLINK \l _Toc12813 </w:instrText>
          </w:r>
          <w:r>
            <w:rPr>
              <w:rFonts w:hint="eastAsia" w:ascii="宋体" w:hAnsi="宋体" w:eastAsia="宋体" w:cs="宋体"/>
              <w:szCs w:val="28"/>
            </w:rPr>
            <w:fldChar w:fldCharType="separate"/>
          </w:r>
          <w:r>
            <w:rPr>
              <w:rFonts w:hint="eastAsia" w:ascii="宋体" w:hAnsi="宋体" w:eastAsia="宋体" w:cs="宋体"/>
              <w:lang w:val="en-US" w:eastAsia="zh-CN"/>
            </w:rPr>
            <w:t xml:space="preserve">第五章 </w:t>
          </w:r>
          <w:r>
            <w:rPr>
              <w:rFonts w:hint="eastAsia" w:ascii="宋体" w:hAnsi="宋体" w:eastAsia="宋体" w:cs="宋体"/>
            </w:rPr>
            <w:t>就业对教育教学的反馈</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_Toc12813 </w:instrText>
          </w:r>
          <w:r>
            <w:rPr>
              <w:rFonts w:hint="eastAsia" w:ascii="宋体" w:hAnsi="宋体" w:eastAsia="宋体" w:cs="宋体"/>
            </w:rPr>
            <w:fldChar w:fldCharType="separate"/>
          </w:r>
          <w:r>
            <w:rPr>
              <w:rFonts w:hint="eastAsia" w:ascii="宋体" w:hAnsi="宋体" w:eastAsia="宋体" w:cs="宋体"/>
            </w:rPr>
            <w:t>76</w:t>
          </w:r>
          <w:r>
            <w:rPr>
              <w:rFonts w:hint="eastAsia" w:ascii="宋体" w:hAnsi="宋体" w:eastAsia="宋体" w:cs="宋体"/>
            </w:rPr>
            <w:fldChar w:fldCharType="end"/>
          </w:r>
          <w:r>
            <w:rPr>
              <w:rFonts w:hint="eastAsia" w:ascii="宋体" w:hAnsi="宋体" w:eastAsia="宋体" w:cs="宋体"/>
              <w:szCs w:val="28"/>
            </w:rPr>
            <w:fldChar w:fldCharType="end"/>
          </w:r>
        </w:p>
        <w:p>
          <w:pPr>
            <w:pStyle w:val="13"/>
            <w:tabs>
              <w:tab w:val="right" w:leader="dot" w:pos="8674"/>
            </w:tabs>
            <w:rPr>
              <w:rFonts w:hint="eastAsia" w:ascii="宋体" w:hAnsi="宋体" w:eastAsia="宋体" w:cs="宋体"/>
            </w:rPr>
          </w:pPr>
          <w:r>
            <w:rPr>
              <w:rFonts w:hint="eastAsia" w:ascii="宋体" w:hAnsi="宋体" w:eastAsia="宋体" w:cs="宋体"/>
              <w:szCs w:val="28"/>
            </w:rPr>
            <w:fldChar w:fldCharType="begin"/>
          </w:r>
          <w:r>
            <w:rPr>
              <w:rFonts w:hint="eastAsia" w:ascii="宋体" w:hAnsi="宋体" w:eastAsia="宋体" w:cs="宋体"/>
              <w:szCs w:val="28"/>
            </w:rPr>
            <w:instrText xml:space="preserve"> HYPERLINK \l _Toc20130 </w:instrText>
          </w:r>
          <w:r>
            <w:rPr>
              <w:rFonts w:hint="eastAsia" w:ascii="宋体" w:hAnsi="宋体" w:eastAsia="宋体" w:cs="宋体"/>
              <w:szCs w:val="28"/>
            </w:rPr>
            <w:fldChar w:fldCharType="separate"/>
          </w:r>
          <w:r>
            <w:rPr>
              <w:rFonts w:hint="eastAsia" w:ascii="宋体" w:hAnsi="宋体" w:eastAsia="宋体" w:cs="宋体"/>
              <w:lang w:eastAsia="zh-CN"/>
            </w:rPr>
            <w:t>一、</w:t>
          </w:r>
          <w:r>
            <w:rPr>
              <w:rFonts w:hint="eastAsia" w:ascii="宋体" w:hAnsi="宋体" w:eastAsia="宋体" w:cs="宋体"/>
            </w:rPr>
            <w:t>对人才培养的反馈</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_Toc20130 </w:instrText>
          </w:r>
          <w:r>
            <w:rPr>
              <w:rFonts w:hint="eastAsia" w:ascii="宋体" w:hAnsi="宋体" w:eastAsia="宋体" w:cs="宋体"/>
            </w:rPr>
            <w:fldChar w:fldCharType="separate"/>
          </w:r>
          <w:r>
            <w:rPr>
              <w:rFonts w:hint="eastAsia" w:ascii="宋体" w:hAnsi="宋体" w:eastAsia="宋体" w:cs="宋体"/>
            </w:rPr>
            <w:t>76</w:t>
          </w:r>
          <w:r>
            <w:rPr>
              <w:rFonts w:hint="eastAsia" w:ascii="宋体" w:hAnsi="宋体" w:eastAsia="宋体" w:cs="宋体"/>
            </w:rPr>
            <w:fldChar w:fldCharType="end"/>
          </w:r>
          <w:r>
            <w:rPr>
              <w:rFonts w:hint="eastAsia" w:ascii="宋体" w:hAnsi="宋体" w:eastAsia="宋体" w:cs="宋体"/>
              <w:szCs w:val="28"/>
            </w:rPr>
            <w:fldChar w:fldCharType="end"/>
          </w:r>
        </w:p>
        <w:p>
          <w:pPr>
            <w:pStyle w:val="9"/>
            <w:tabs>
              <w:tab w:val="right" w:leader="dot" w:pos="8674"/>
            </w:tabs>
            <w:rPr>
              <w:rFonts w:hint="eastAsia" w:ascii="宋体" w:hAnsi="宋体" w:eastAsia="宋体" w:cs="宋体"/>
            </w:rPr>
          </w:pPr>
          <w:r>
            <w:rPr>
              <w:rFonts w:hint="eastAsia" w:ascii="宋体" w:hAnsi="宋体" w:eastAsia="宋体" w:cs="宋体"/>
              <w:szCs w:val="28"/>
            </w:rPr>
            <w:fldChar w:fldCharType="begin"/>
          </w:r>
          <w:r>
            <w:rPr>
              <w:rFonts w:hint="eastAsia" w:ascii="宋体" w:hAnsi="宋体" w:eastAsia="宋体" w:cs="宋体"/>
              <w:szCs w:val="28"/>
            </w:rPr>
            <w:instrText xml:space="preserve"> HYPERLINK \l _Toc22696 </w:instrText>
          </w:r>
          <w:r>
            <w:rPr>
              <w:rFonts w:hint="eastAsia" w:ascii="宋体" w:hAnsi="宋体" w:eastAsia="宋体" w:cs="宋体"/>
              <w:szCs w:val="28"/>
            </w:rPr>
            <w:fldChar w:fldCharType="separate"/>
          </w:r>
          <w:r>
            <w:rPr>
              <w:rFonts w:hint="eastAsia" w:ascii="宋体" w:hAnsi="宋体" w:eastAsia="宋体" w:cs="宋体"/>
            </w:rPr>
            <w:t>（一） 对学校的总体满意度</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_Toc22696 </w:instrText>
          </w:r>
          <w:r>
            <w:rPr>
              <w:rFonts w:hint="eastAsia" w:ascii="宋体" w:hAnsi="宋体" w:eastAsia="宋体" w:cs="宋体"/>
            </w:rPr>
            <w:fldChar w:fldCharType="separate"/>
          </w:r>
          <w:r>
            <w:rPr>
              <w:rFonts w:hint="eastAsia" w:ascii="宋体" w:hAnsi="宋体" w:eastAsia="宋体" w:cs="宋体"/>
            </w:rPr>
            <w:t>76</w:t>
          </w:r>
          <w:r>
            <w:rPr>
              <w:rFonts w:hint="eastAsia" w:ascii="宋体" w:hAnsi="宋体" w:eastAsia="宋体" w:cs="宋体"/>
            </w:rPr>
            <w:fldChar w:fldCharType="end"/>
          </w:r>
          <w:r>
            <w:rPr>
              <w:rFonts w:hint="eastAsia" w:ascii="宋体" w:hAnsi="宋体" w:eastAsia="宋体" w:cs="宋体"/>
              <w:szCs w:val="28"/>
            </w:rPr>
            <w:fldChar w:fldCharType="end"/>
          </w:r>
        </w:p>
        <w:p>
          <w:pPr>
            <w:pStyle w:val="9"/>
            <w:tabs>
              <w:tab w:val="right" w:leader="dot" w:pos="8674"/>
            </w:tabs>
            <w:rPr>
              <w:rFonts w:hint="eastAsia" w:ascii="宋体" w:hAnsi="宋体" w:eastAsia="宋体" w:cs="宋体"/>
            </w:rPr>
          </w:pPr>
          <w:r>
            <w:rPr>
              <w:rFonts w:hint="eastAsia" w:ascii="宋体" w:hAnsi="宋体" w:eastAsia="宋体" w:cs="宋体"/>
              <w:szCs w:val="28"/>
            </w:rPr>
            <w:fldChar w:fldCharType="begin"/>
          </w:r>
          <w:r>
            <w:rPr>
              <w:rFonts w:hint="eastAsia" w:ascii="宋体" w:hAnsi="宋体" w:eastAsia="宋体" w:cs="宋体"/>
              <w:szCs w:val="28"/>
            </w:rPr>
            <w:instrText xml:space="preserve"> HYPERLINK \l _Toc13809 </w:instrText>
          </w:r>
          <w:r>
            <w:rPr>
              <w:rFonts w:hint="eastAsia" w:ascii="宋体" w:hAnsi="宋体" w:eastAsia="宋体" w:cs="宋体"/>
              <w:szCs w:val="28"/>
            </w:rPr>
            <w:fldChar w:fldCharType="separate"/>
          </w:r>
          <w:r>
            <w:rPr>
              <w:rFonts w:hint="eastAsia" w:ascii="宋体" w:hAnsi="宋体" w:eastAsia="宋体" w:cs="宋体"/>
            </w:rPr>
            <w:t>（二） 就业对教学的反馈</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_Toc13809 </w:instrText>
          </w:r>
          <w:r>
            <w:rPr>
              <w:rFonts w:hint="eastAsia" w:ascii="宋体" w:hAnsi="宋体" w:eastAsia="宋体" w:cs="宋体"/>
            </w:rPr>
            <w:fldChar w:fldCharType="separate"/>
          </w:r>
          <w:r>
            <w:rPr>
              <w:rFonts w:hint="eastAsia" w:ascii="宋体" w:hAnsi="宋体" w:eastAsia="宋体" w:cs="宋体"/>
            </w:rPr>
            <w:t>82</w:t>
          </w:r>
          <w:r>
            <w:rPr>
              <w:rFonts w:hint="eastAsia" w:ascii="宋体" w:hAnsi="宋体" w:eastAsia="宋体" w:cs="宋体"/>
            </w:rPr>
            <w:fldChar w:fldCharType="end"/>
          </w:r>
          <w:r>
            <w:rPr>
              <w:rFonts w:hint="eastAsia" w:ascii="宋体" w:hAnsi="宋体" w:eastAsia="宋体" w:cs="宋体"/>
              <w:szCs w:val="28"/>
            </w:rPr>
            <w:fldChar w:fldCharType="end"/>
          </w:r>
        </w:p>
        <w:p>
          <w:pPr>
            <w:pStyle w:val="9"/>
            <w:tabs>
              <w:tab w:val="right" w:leader="dot" w:pos="8674"/>
            </w:tabs>
            <w:rPr>
              <w:rFonts w:hint="eastAsia" w:ascii="宋体" w:hAnsi="宋体" w:eastAsia="宋体" w:cs="宋体"/>
            </w:rPr>
          </w:pPr>
          <w:r>
            <w:rPr>
              <w:rFonts w:hint="eastAsia" w:ascii="宋体" w:hAnsi="宋体" w:eastAsia="宋体" w:cs="宋体"/>
              <w:szCs w:val="28"/>
            </w:rPr>
            <w:fldChar w:fldCharType="begin"/>
          </w:r>
          <w:r>
            <w:rPr>
              <w:rFonts w:hint="eastAsia" w:ascii="宋体" w:hAnsi="宋体" w:eastAsia="宋体" w:cs="宋体"/>
              <w:szCs w:val="28"/>
            </w:rPr>
            <w:instrText xml:space="preserve"> HYPERLINK \l _Toc24700 </w:instrText>
          </w:r>
          <w:r>
            <w:rPr>
              <w:rFonts w:hint="eastAsia" w:ascii="宋体" w:hAnsi="宋体" w:eastAsia="宋体" w:cs="宋体"/>
              <w:szCs w:val="28"/>
            </w:rPr>
            <w:fldChar w:fldCharType="separate"/>
          </w:r>
          <w:r>
            <w:rPr>
              <w:rFonts w:hint="eastAsia" w:ascii="宋体" w:hAnsi="宋体" w:eastAsia="宋体" w:cs="宋体"/>
            </w:rPr>
            <w:t>（三） 通用能力培养</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_Toc24700 </w:instrText>
          </w:r>
          <w:r>
            <w:rPr>
              <w:rFonts w:hint="eastAsia" w:ascii="宋体" w:hAnsi="宋体" w:eastAsia="宋体" w:cs="宋体"/>
            </w:rPr>
            <w:fldChar w:fldCharType="separate"/>
          </w:r>
          <w:r>
            <w:rPr>
              <w:rFonts w:hint="eastAsia" w:ascii="宋体" w:hAnsi="宋体" w:eastAsia="宋体" w:cs="宋体"/>
            </w:rPr>
            <w:t>85</w:t>
          </w:r>
          <w:r>
            <w:rPr>
              <w:rFonts w:hint="eastAsia" w:ascii="宋体" w:hAnsi="宋体" w:eastAsia="宋体" w:cs="宋体"/>
            </w:rPr>
            <w:fldChar w:fldCharType="end"/>
          </w:r>
          <w:r>
            <w:rPr>
              <w:rFonts w:hint="eastAsia" w:ascii="宋体" w:hAnsi="宋体" w:eastAsia="宋体" w:cs="宋体"/>
              <w:szCs w:val="28"/>
            </w:rPr>
            <w:fldChar w:fldCharType="end"/>
          </w:r>
        </w:p>
        <w:p>
          <w:pPr>
            <w:pStyle w:val="12"/>
            <w:tabs>
              <w:tab w:val="right" w:leader="dot" w:pos="8674"/>
            </w:tabs>
            <w:rPr>
              <w:rFonts w:hint="eastAsia" w:ascii="宋体" w:hAnsi="宋体" w:eastAsia="宋体" w:cs="宋体"/>
            </w:rPr>
          </w:pPr>
          <w:r>
            <w:rPr>
              <w:rFonts w:hint="eastAsia" w:ascii="宋体" w:hAnsi="宋体" w:eastAsia="宋体" w:cs="宋体"/>
              <w:szCs w:val="28"/>
            </w:rPr>
            <w:fldChar w:fldCharType="begin"/>
          </w:r>
          <w:r>
            <w:rPr>
              <w:rFonts w:hint="eastAsia" w:ascii="宋体" w:hAnsi="宋体" w:eastAsia="宋体" w:cs="宋体"/>
              <w:szCs w:val="28"/>
            </w:rPr>
            <w:instrText xml:space="preserve"> HYPERLINK \l _Toc7835 </w:instrText>
          </w:r>
          <w:r>
            <w:rPr>
              <w:rFonts w:hint="eastAsia" w:ascii="宋体" w:hAnsi="宋体" w:eastAsia="宋体" w:cs="宋体"/>
              <w:szCs w:val="28"/>
            </w:rPr>
            <w:fldChar w:fldCharType="separate"/>
          </w:r>
          <w:r>
            <w:rPr>
              <w:rFonts w:hint="eastAsia" w:ascii="宋体" w:hAnsi="宋体" w:eastAsia="宋体" w:cs="宋体"/>
              <w:lang w:eastAsia="zh-CN"/>
            </w:rPr>
            <w:t>第六章</w:t>
          </w:r>
          <w:r>
            <w:rPr>
              <w:rFonts w:hint="eastAsia" w:ascii="宋体" w:hAnsi="宋体" w:eastAsia="宋体" w:cs="宋体"/>
            </w:rPr>
            <w:t xml:space="preserve"> 改进措施</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_Toc7835 </w:instrText>
          </w:r>
          <w:r>
            <w:rPr>
              <w:rFonts w:hint="eastAsia" w:ascii="宋体" w:hAnsi="宋体" w:eastAsia="宋体" w:cs="宋体"/>
            </w:rPr>
            <w:fldChar w:fldCharType="separate"/>
          </w:r>
          <w:r>
            <w:rPr>
              <w:rFonts w:hint="eastAsia" w:ascii="宋体" w:hAnsi="宋体" w:eastAsia="宋体" w:cs="宋体"/>
            </w:rPr>
            <w:t>87</w:t>
          </w:r>
          <w:r>
            <w:rPr>
              <w:rFonts w:hint="eastAsia" w:ascii="宋体" w:hAnsi="宋体" w:eastAsia="宋体" w:cs="宋体"/>
            </w:rPr>
            <w:fldChar w:fldCharType="end"/>
          </w:r>
          <w:r>
            <w:rPr>
              <w:rFonts w:hint="eastAsia" w:ascii="宋体" w:hAnsi="宋体" w:eastAsia="宋体" w:cs="宋体"/>
              <w:szCs w:val="28"/>
            </w:rPr>
            <w:fldChar w:fldCharType="end"/>
          </w:r>
        </w:p>
        <w:p>
          <w:pPr>
            <w:pStyle w:val="13"/>
            <w:tabs>
              <w:tab w:val="right" w:leader="dot" w:pos="8674"/>
            </w:tabs>
            <w:rPr>
              <w:rFonts w:hint="eastAsia" w:ascii="宋体" w:hAnsi="宋体" w:eastAsia="宋体" w:cs="宋体"/>
            </w:rPr>
          </w:pPr>
          <w:r>
            <w:rPr>
              <w:rFonts w:hint="eastAsia" w:ascii="宋体" w:hAnsi="宋体" w:eastAsia="宋体" w:cs="宋体"/>
              <w:szCs w:val="28"/>
            </w:rPr>
            <w:fldChar w:fldCharType="begin"/>
          </w:r>
          <w:r>
            <w:rPr>
              <w:rFonts w:hint="eastAsia" w:ascii="宋体" w:hAnsi="宋体" w:eastAsia="宋体" w:cs="宋体"/>
              <w:szCs w:val="28"/>
            </w:rPr>
            <w:instrText xml:space="preserve"> HYPERLINK \l _Toc13020 </w:instrText>
          </w:r>
          <w:r>
            <w:rPr>
              <w:rFonts w:hint="eastAsia" w:ascii="宋体" w:hAnsi="宋体" w:eastAsia="宋体" w:cs="宋体"/>
              <w:szCs w:val="28"/>
            </w:rPr>
            <w:fldChar w:fldCharType="separate"/>
          </w:r>
          <w:r>
            <w:rPr>
              <w:rFonts w:hint="eastAsia" w:ascii="宋体" w:hAnsi="宋体" w:eastAsia="宋体" w:cs="宋体"/>
              <w:lang w:val="zh-CN" w:eastAsia="zh-CN"/>
            </w:rPr>
            <w:t>一、积极关注市场发展趋势，主动对接相关领域人才需求</w:t>
          </w:r>
          <w:r>
            <w:rPr>
              <w:rFonts w:hint="eastAsia" w:ascii="宋体" w:hAnsi="宋体" w:eastAsia="宋体" w:cs="宋体"/>
              <w:lang w:val="en-US" w:eastAsia="zh-CN"/>
            </w:rPr>
            <w:t xml:space="preserve">, </w:t>
          </w:r>
          <w:r>
            <w:rPr>
              <w:rFonts w:hint="eastAsia" w:ascii="宋体" w:hAnsi="宋体" w:eastAsia="宋体" w:cs="宋体"/>
              <w:lang w:val="zh-CN"/>
            </w:rPr>
            <w:t>提升</w:t>
          </w:r>
          <w:r>
            <w:rPr>
              <w:rFonts w:hint="eastAsia" w:ascii="宋体" w:hAnsi="宋体" w:eastAsia="宋体" w:cs="宋体"/>
              <w:lang w:val="zh-CN" w:eastAsia="zh-CN"/>
            </w:rPr>
            <w:t>专业对口率就业</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_Toc13020 </w:instrText>
          </w:r>
          <w:r>
            <w:rPr>
              <w:rFonts w:hint="eastAsia" w:ascii="宋体" w:hAnsi="宋体" w:eastAsia="宋体" w:cs="宋体"/>
            </w:rPr>
            <w:fldChar w:fldCharType="separate"/>
          </w:r>
          <w:r>
            <w:rPr>
              <w:rFonts w:hint="eastAsia" w:ascii="宋体" w:hAnsi="宋体" w:eastAsia="宋体" w:cs="宋体"/>
            </w:rPr>
            <w:t>87</w:t>
          </w:r>
          <w:r>
            <w:rPr>
              <w:rFonts w:hint="eastAsia" w:ascii="宋体" w:hAnsi="宋体" w:eastAsia="宋体" w:cs="宋体"/>
            </w:rPr>
            <w:fldChar w:fldCharType="end"/>
          </w:r>
          <w:r>
            <w:rPr>
              <w:rFonts w:hint="eastAsia" w:ascii="宋体" w:hAnsi="宋体" w:eastAsia="宋体" w:cs="宋体"/>
              <w:szCs w:val="28"/>
            </w:rPr>
            <w:fldChar w:fldCharType="end"/>
          </w:r>
        </w:p>
        <w:p>
          <w:pPr>
            <w:pStyle w:val="13"/>
            <w:tabs>
              <w:tab w:val="right" w:leader="dot" w:pos="8674"/>
            </w:tabs>
          </w:pPr>
          <w:r>
            <w:rPr>
              <w:rFonts w:hint="eastAsia" w:ascii="宋体" w:hAnsi="宋体" w:eastAsia="宋体" w:cs="宋体"/>
              <w:szCs w:val="28"/>
            </w:rPr>
            <w:fldChar w:fldCharType="begin"/>
          </w:r>
          <w:r>
            <w:rPr>
              <w:rFonts w:hint="eastAsia" w:ascii="宋体" w:hAnsi="宋体" w:eastAsia="宋体" w:cs="宋体"/>
              <w:szCs w:val="28"/>
            </w:rPr>
            <w:instrText xml:space="preserve"> HYPERLINK \l _Toc29997 </w:instrText>
          </w:r>
          <w:r>
            <w:rPr>
              <w:rFonts w:hint="eastAsia" w:ascii="宋体" w:hAnsi="宋体" w:eastAsia="宋体" w:cs="宋体"/>
              <w:szCs w:val="28"/>
            </w:rPr>
            <w:fldChar w:fldCharType="separate"/>
          </w:r>
          <w:r>
            <w:rPr>
              <w:rFonts w:hint="eastAsia" w:ascii="宋体" w:hAnsi="宋体" w:eastAsia="宋体" w:cs="宋体"/>
              <w:lang w:val="zh-CN" w:eastAsia="zh-CN"/>
            </w:rPr>
            <w:t>二、进一步提升创新创业工作开展成效</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_Toc29997 </w:instrText>
          </w:r>
          <w:r>
            <w:rPr>
              <w:rFonts w:hint="eastAsia" w:ascii="宋体" w:hAnsi="宋体" w:eastAsia="宋体" w:cs="宋体"/>
            </w:rPr>
            <w:fldChar w:fldCharType="separate"/>
          </w:r>
          <w:r>
            <w:rPr>
              <w:rFonts w:hint="eastAsia" w:ascii="宋体" w:hAnsi="宋体" w:eastAsia="宋体" w:cs="宋体"/>
            </w:rPr>
            <w:t>87</w:t>
          </w:r>
          <w:r>
            <w:rPr>
              <w:rFonts w:hint="eastAsia" w:ascii="宋体" w:hAnsi="宋体" w:eastAsia="宋体" w:cs="宋体"/>
            </w:rPr>
            <w:fldChar w:fldCharType="end"/>
          </w:r>
          <w:r>
            <w:rPr>
              <w:rFonts w:hint="eastAsia" w:ascii="宋体" w:hAnsi="宋体" w:eastAsia="宋体" w:cs="宋体"/>
              <w:szCs w:val="28"/>
            </w:rPr>
            <w:fldChar w:fldCharType="end"/>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8"/>
              <w:szCs w:val="28"/>
            </w:rPr>
            <w:sectPr>
              <w:headerReference r:id="rId3" w:type="first"/>
              <w:footnotePr>
                <w:numRestart w:val="eachSect"/>
              </w:footnotePr>
              <w:pgSz w:w="11906" w:h="16838"/>
              <w:pgMar w:top="1701" w:right="1531" w:bottom="1701" w:left="1701" w:header="964" w:footer="851" w:gutter="0"/>
              <w:cols w:space="425" w:num="1"/>
              <w:titlePg/>
              <w:docGrid w:linePitch="312" w:charSpace="0"/>
            </w:sectPr>
          </w:pPr>
          <w:r>
            <w:rPr>
              <w:rFonts w:hint="eastAsia" w:asciiTheme="minorEastAsia" w:hAnsiTheme="minorEastAsia" w:eastAsiaTheme="minorEastAsia" w:cstheme="minorEastAsia"/>
              <w:szCs w:val="28"/>
            </w:rPr>
            <w:fldChar w:fldCharType="end"/>
          </w:r>
        </w:p>
      </w:sdtContent>
    </w:sdt>
    <w:p>
      <w:pPr>
        <w:rPr>
          <w:rFonts w:ascii="宋体" w:hAnsi="宋体"/>
          <w:szCs w:val="28"/>
        </w:rPr>
      </w:pPr>
    </w:p>
    <w:p>
      <w:pPr>
        <w:pStyle w:val="2"/>
        <w:bidi w:val="0"/>
        <w:ind w:left="0" w:leftChars="0" w:firstLine="0" w:firstLineChars="0"/>
      </w:pPr>
      <w:bookmarkStart w:id="0" w:name="_Toc5228"/>
      <w:bookmarkStart w:id="1" w:name="_Toc3013"/>
      <w:bookmarkStart w:id="2" w:name="_Toc532230128"/>
      <w:bookmarkStart w:id="3" w:name="_Toc532230088"/>
      <w:bookmarkStart w:id="4" w:name="_Toc23195_WPSOffice_Level1"/>
      <w:bookmarkStart w:id="5" w:name="_Toc15975_WPSOffice_Level1"/>
      <w:r>
        <w:rPr>
          <w:rFonts w:hint="eastAsia"/>
        </w:rPr>
        <w:t>就业基本情况</w:t>
      </w:r>
      <w:bookmarkEnd w:id="0"/>
      <w:bookmarkEnd w:id="1"/>
      <w:bookmarkEnd w:id="2"/>
      <w:bookmarkEnd w:id="3"/>
      <w:bookmarkEnd w:id="4"/>
      <w:bookmarkEnd w:id="5"/>
    </w:p>
    <w:p>
      <w:pPr>
        <w:pStyle w:val="3"/>
        <w:bidi w:val="0"/>
        <w:ind w:left="0" w:leftChars="0" w:firstLine="0" w:firstLineChars="0"/>
        <w:rPr>
          <w:rFonts w:hint="eastAsia"/>
        </w:rPr>
      </w:pPr>
      <w:bookmarkStart w:id="6" w:name="_Toc20987_WPSOffice_Level2"/>
      <w:bookmarkStart w:id="7" w:name="_Toc10055"/>
      <w:bookmarkStart w:id="8" w:name="_Toc22687_WPSOffice_Level2"/>
      <w:bookmarkStart w:id="9" w:name="_Toc532230089"/>
      <w:bookmarkStart w:id="10" w:name="_Toc4805"/>
      <w:r>
        <w:rPr>
          <w:rFonts w:hint="eastAsia"/>
        </w:rPr>
        <w:t>毕业生规模和结构</w:t>
      </w:r>
      <w:bookmarkEnd w:id="6"/>
      <w:bookmarkEnd w:id="7"/>
      <w:bookmarkEnd w:id="8"/>
      <w:bookmarkEnd w:id="9"/>
      <w:bookmarkEnd w:id="10"/>
    </w:p>
    <w:p>
      <w:pPr>
        <w:pStyle w:val="4"/>
        <w:bidi w:val="0"/>
        <w:ind w:left="0" w:leftChars="0" w:firstLine="400" w:firstLineChars="0"/>
        <w:rPr>
          <w:rFonts w:hint="eastAsia"/>
        </w:rPr>
      </w:pPr>
      <w:bookmarkStart w:id="11" w:name="_Toc21761_WPSOffice_Level3"/>
      <w:bookmarkStart w:id="12" w:name="_Toc18813_WPSOffice_Level3"/>
      <w:bookmarkStart w:id="13" w:name="_Toc5346_WPSOffice_Level3"/>
      <w:bookmarkStart w:id="14" w:name="_Toc9808"/>
      <w:bookmarkStart w:id="15" w:name="_Toc3917"/>
      <w:bookmarkStart w:id="16" w:name="_Toc9842_WPSOffice_Level3"/>
      <w:r>
        <w:rPr>
          <w:rFonts w:hint="eastAsia"/>
        </w:rPr>
        <w:t>总毕业生人数</w:t>
      </w:r>
      <w:bookmarkEnd w:id="11"/>
      <w:bookmarkEnd w:id="12"/>
      <w:bookmarkEnd w:id="13"/>
      <w:bookmarkEnd w:id="14"/>
      <w:bookmarkEnd w:id="15"/>
      <w:bookmarkEnd w:id="16"/>
    </w:p>
    <w:p>
      <w:pPr>
        <w:pStyle w:val="7"/>
        <w:keepNext/>
        <w:keepLines/>
        <w:pageBreakBefore w:val="0"/>
        <w:widowControl w:val="0"/>
        <w:kinsoku/>
        <w:wordWrap/>
        <w:overflowPunct/>
        <w:topLinePunct w:val="0"/>
        <w:autoSpaceDE/>
        <w:autoSpaceDN/>
        <w:bidi w:val="0"/>
        <w:adjustRightInd/>
        <w:snapToGrid/>
        <w:ind w:firstLine="640" w:firstLineChars="200"/>
        <w:textAlignment w:val="auto"/>
      </w:pPr>
      <w:r>
        <w:rPr>
          <w:rFonts w:hint="eastAsia"/>
          <w:lang w:val="en-US" w:eastAsia="zh-CN"/>
        </w:rPr>
        <w:t>海南外国语职业学院2019届总毕业生人数为1831人。其中二年制高职毕业生566人，三年制高职毕业生972人，五年一贯制毕业生293人。</w:t>
      </w:r>
    </w:p>
    <w:p>
      <w:pPr>
        <w:pStyle w:val="4"/>
        <w:bidi w:val="0"/>
        <w:rPr>
          <w:rFonts w:hint="eastAsia"/>
          <w:lang w:eastAsia="zh-CN"/>
        </w:rPr>
      </w:pPr>
      <w:bookmarkStart w:id="17" w:name="_Toc22455"/>
      <w:bookmarkStart w:id="18" w:name="_Toc22687_WPSOffice_Level3"/>
      <w:bookmarkStart w:id="19" w:name="_Toc16844_WPSOffice_Level3"/>
      <w:bookmarkStart w:id="20" w:name="_Toc4898_WPSOffice_Level3"/>
      <w:bookmarkStart w:id="21" w:name="_Toc5371"/>
      <w:bookmarkStart w:id="22" w:name="_Toc2654_WPSOffice_Level3"/>
      <w:r>
        <w:rPr>
          <w:rFonts w:hint="eastAsia"/>
          <w:lang w:eastAsia="zh-CN"/>
        </w:rPr>
        <w:t>各院系及专业的毕业生人数</w:t>
      </w:r>
      <w:bookmarkEnd w:id="17"/>
      <w:bookmarkEnd w:id="18"/>
      <w:bookmarkEnd w:id="19"/>
      <w:bookmarkEnd w:id="20"/>
      <w:bookmarkEnd w:id="21"/>
      <w:bookmarkEnd w:id="22"/>
    </w:p>
    <w:p>
      <w:pPr>
        <w:pStyle w:val="7"/>
        <w:bidi w:val="0"/>
        <w:rPr>
          <w:rFonts w:hint="default"/>
          <w:lang w:val="en-US" w:eastAsia="zh-CN"/>
        </w:rPr>
      </w:pPr>
      <w:r>
        <w:rPr>
          <w:rFonts w:hint="eastAsia"/>
          <w:lang w:val="en-US" w:eastAsia="zh-CN"/>
        </w:rPr>
        <w:t>我院2019届毕业生共有6个系部，分别是英语系、国际商务系、东语系、西语系、旅游系和公共教学部，共计25个专业，各专业毕业生人数分布情况如下见表1-1</w:t>
      </w:r>
    </w:p>
    <w:p>
      <w:pPr>
        <w:pStyle w:val="6"/>
        <w:spacing w:before="120" w:after="120"/>
        <w:jc w:val="center"/>
        <w:rPr>
          <w:rFonts w:hint="eastAsia"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21"/>
          <w:szCs w:val="21"/>
        </w:rPr>
        <w:t>表1-1   201</w:t>
      </w:r>
      <w:r>
        <w:rPr>
          <w:rFonts w:hint="eastAsia" w:asciiTheme="minorEastAsia" w:hAnsiTheme="minorEastAsia" w:eastAsiaTheme="minorEastAsia" w:cstheme="minorEastAsia"/>
          <w:bCs/>
          <w:sz w:val="21"/>
          <w:szCs w:val="21"/>
          <w:lang w:val="en-US" w:eastAsia="zh-CN"/>
        </w:rPr>
        <w:t>9</w:t>
      </w:r>
      <w:r>
        <w:rPr>
          <w:rFonts w:hint="eastAsia" w:asciiTheme="minorEastAsia" w:hAnsiTheme="minorEastAsia" w:eastAsiaTheme="minorEastAsia" w:cstheme="minorEastAsia"/>
          <w:bCs/>
          <w:sz w:val="21"/>
          <w:szCs w:val="21"/>
        </w:rPr>
        <w:t>届各专业人数分布</w:t>
      </w:r>
    </w:p>
    <w:tbl>
      <w:tblPr>
        <w:tblStyle w:val="14"/>
        <w:tblW w:w="6336" w:type="dxa"/>
        <w:jc w:val="center"/>
        <w:tblLayout w:type="fixed"/>
        <w:tblCellMar>
          <w:top w:w="0" w:type="dxa"/>
          <w:left w:w="108" w:type="dxa"/>
          <w:bottom w:w="0" w:type="dxa"/>
          <w:right w:w="108" w:type="dxa"/>
        </w:tblCellMar>
      </w:tblPr>
      <w:tblGrid>
        <w:gridCol w:w="1266"/>
        <w:gridCol w:w="2293"/>
        <w:gridCol w:w="388"/>
        <w:gridCol w:w="637"/>
        <w:gridCol w:w="1063"/>
        <w:gridCol w:w="689"/>
      </w:tblGrid>
      <w:tr>
        <w:tblPrEx>
          <w:tblCellMar>
            <w:top w:w="0" w:type="dxa"/>
            <w:left w:w="108" w:type="dxa"/>
            <w:bottom w:w="0" w:type="dxa"/>
            <w:right w:w="108" w:type="dxa"/>
          </w:tblCellMar>
        </w:tblPrEx>
        <w:trPr>
          <w:trHeight w:val="303" w:hRule="atLeast"/>
          <w:jc w:val="center"/>
        </w:trPr>
        <w:tc>
          <w:tcPr>
            <w:tcW w:w="1266" w:type="dxa"/>
            <w:tcBorders>
              <w:top w:val="single" w:color="auto" w:sz="4" w:space="0"/>
              <w:left w:val="single" w:color="auto" w:sz="4" w:space="0"/>
              <w:bottom w:val="nil"/>
              <w:right w:val="single" w:color="auto" w:sz="4" w:space="0"/>
            </w:tcBorders>
            <w:noWrap/>
            <w:vAlign w:val="center"/>
          </w:tcPr>
          <w:p>
            <w:pPr>
              <w:widowControl/>
              <w:spacing w:line="200" w:lineRule="atLeast"/>
              <w:rPr>
                <w:rFonts w:ascii="宋体" w:hAnsi="宋体" w:cs="宋体"/>
                <w:kern w:val="0"/>
                <w:szCs w:val="21"/>
              </w:rPr>
            </w:pPr>
            <w:r>
              <w:rPr>
                <w:rFonts w:hint="eastAsia" w:ascii="宋体" w:hAnsi="宋体" w:cs="宋体"/>
                <w:kern w:val="0"/>
                <w:szCs w:val="21"/>
              </w:rPr>
              <w:t>院系</w:t>
            </w:r>
          </w:p>
        </w:tc>
        <w:tc>
          <w:tcPr>
            <w:tcW w:w="2293" w:type="dxa"/>
            <w:tcBorders>
              <w:top w:val="single" w:color="auto" w:sz="4" w:space="0"/>
              <w:left w:val="nil"/>
              <w:bottom w:val="nil"/>
              <w:right w:val="single" w:color="auto" w:sz="4" w:space="0"/>
            </w:tcBorders>
            <w:noWrap/>
            <w:vAlign w:val="center"/>
          </w:tcPr>
          <w:p>
            <w:pPr>
              <w:widowControl/>
              <w:spacing w:line="200" w:lineRule="atLeast"/>
              <w:rPr>
                <w:rFonts w:ascii="宋体" w:hAnsi="宋体" w:cs="宋体"/>
                <w:kern w:val="0"/>
                <w:szCs w:val="21"/>
              </w:rPr>
            </w:pPr>
            <w:r>
              <w:rPr>
                <w:rFonts w:hint="eastAsia" w:ascii="宋体" w:hAnsi="宋体" w:cs="宋体"/>
                <w:kern w:val="0"/>
                <w:szCs w:val="21"/>
              </w:rPr>
              <w:t>专业</w:t>
            </w:r>
          </w:p>
        </w:tc>
        <w:tc>
          <w:tcPr>
            <w:tcW w:w="388" w:type="dxa"/>
            <w:tcBorders>
              <w:top w:val="single" w:color="auto" w:sz="4" w:space="0"/>
              <w:left w:val="nil"/>
              <w:bottom w:val="nil"/>
              <w:right w:val="single" w:color="auto" w:sz="4" w:space="0"/>
            </w:tcBorders>
            <w:noWrap/>
            <w:vAlign w:val="center"/>
          </w:tcPr>
          <w:p>
            <w:pPr>
              <w:widowControl/>
              <w:spacing w:line="200" w:lineRule="atLeast"/>
              <w:rPr>
                <w:rFonts w:ascii="宋体" w:hAnsi="宋体" w:cs="宋体"/>
                <w:kern w:val="0"/>
                <w:szCs w:val="21"/>
              </w:rPr>
            </w:pPr>
            <w:r>
              <w:rPr>
                <w:rFonts w:hint="eastAsia" w:ascii="宋体" w:hAnsi="宋体" w:cs="宋体"/>
                <w:kern w:val="0"/>
                <w:szCs w:val="21"/>
              </w:rPr>
              <w:t>学制</w:t>
            </w:r>
          </w:p>
        </w:tc>
        <w:tc>
          <w:tcPr>
            <w:tcW w:w="637" w:type="dxa"/>
            <w:tcBorders>
              <w:top w:val="single" w:color="auto" w:sz="4" w:space="0"/>
              <w:left w:val="nil"/>
              <w:bottom w:val="single" w:color="auto" w:sz="4" w:space="0"/>
              <w:right w:val="single" w:color="auto" w:sz="4" w:space="0"/>
            </w:tcBorders>
            <w:noWrap/>
            <w:vAlign w:val="center"/>
          </w:tcPr>
          <w:p>
            <w:pPr>
              <w:widowControl/>
              <w:spacing w:line="200" w:lineRule="atLeast"/>
              <w:rPr>
                <w:rFonts w:ascii="宋体" w:hAnsi="宋体" w:cs="宋体"/>
                <w:kern w:val="0"/>
                <w:szCs w:val="21"/>
              </w:rPr>
            </w:pPr>
            <w:r>
              <w:rPr>
                <w:rFonts w:hint="eastAsia" w:ascii="宋体" w:hAnsi="宋体" w:cs="宋体"/>
                <w:kern w:val="0"/>
                <w:szCs w:val="21"/>
              </w:rPr>
              <w:t>学历</w:t>
            </w:r>
          </w:p>
        </w:tc>
        <w:tc>
          <w:tcPr>
            <w:tcW w:w="1063" w:type="dxa"/>
            <w:tcBorders>
              <w:top w:val="single" w:color="auto" w:sz="4" w:space="0"/>
              <w:left w:val="nil"/>
              <w:bottom w:val="nil"/>
              <w:right w:val="single" w:color="auto" w:sz="4" w:space="0"/>
            </w:tcBorders>
            <w:noWrap/>
            <w:vAlign w:val="center"/>
          </w:tcPr>
          <w:p>
            <w:pPr>
              <w:widowControl/>
              <w:spacing w:line="200" w:lineRule="atLeast"/>
              <w:rPr>
                <w:rFonts w:ascii="宋体" w:hAnsi="宋体" w:cs="宋体"/>
                <w:kern w:val="0"/>
                <w:szCs w:val="21"/>
              </w:rPr>
            </w:pPr>
            <w:r>
              <w:rPr>
                <w:rFonts w:hint="eastAsia" w:ascii="宋体" w:hAnsi="宋体" w:cs="宋体"/>
                <w:kern w:val="0"/>
                <w:szCs w:val="21"/>
              </w:rPr>
              <w:t>毕业人数</w:t>
            </w:r>
          </w:p>
        </w:tc>
        <w:tc>
          <w:tcPr>
            <w:tcW w:w="689" w:type="dxa"/>
            <w:tcBorders>
              <w:top w:val="single" w:color="auto" w:sz="4" w:space="0"/>
              <w:left w:val="nil"/>
              <w:bottom w:val="nil"/>
              <w:right w:val="single" w:color="auto" w:sz="4" w:space="0"/>
            </w:tcBorders>
            <w:noWrap/>
            <w:vAlign w:val="center"/>
          </w:tcPr>
          <w:p>
            <w:pPr>
              <w:widowControl/>
              <w:spacing w:line="200" w:lineRule="atLeast"/>
              <w:rPr>
                <w:rFonts w:ascii="宋体" w:hAnsi="宋体" w:cs="宋体"/>
                <w:kern w:val="0"/>
                <w:szCs w:val="21"/>
              </w:rPr>
            </w:pPr>
            <w:r>
              <w:rPr>
                <w:rFonts w:hint="eastAsia" w:ascii="宋体" w:hAnsi="宋体" w:cs="宋体"/>
                <w:kern w:val="0"/>
                <w:szCs w:val="21"/>
              </w:rPr>
              <w:t>合计</w:t>
            </w:r>
          </w:p>
        </w:tc>
      </w:tr>
      <w:tr>
        <w:tblPrEx>
          <w:tblCellMar>
            <w:top w:w="0" w:type="dxa"/>
            <w:left w:w="108" w:type="dxa"/>
            <w:bottom w:w="0" w:type="dxa"/>
            <w:right w:w="108" w:type="dxa"/>
          </w:tblCellMar>
        </w:tblPrEx>
        <w:trPr>
          <w:trHeight w:val="273" w:hRule="atLeast"/>
          <w:jc w:val="center"/>
        </w:trPr>
        <w:tc>
          <w:tcPr>
            <w:tcW w:w="1266" w:type="dxa"/>
            <w:vMerge w:val="restart"/>
            <w:tcBorders>
              <w:top w:val="single" w:color="auto" w:sz="4" w:space="0"/>
              <w:left w:val="single" w:color="auto" w:sz="4" w:space="0"/>
              <w:bottom w:val="single" w:color="000000" w:sz="4" w:space="0"/>
              <w:right w:val="single" w:color="auto" w:sz="4" w:space="0"/>
            </w:tcBorders>
            <w:noWrap/>
            <w:vAlign w:val="center"/>
          </w:tcPr>
          <w:p>
            <w:pPr>
              <w:widowControl/>
              <w:spacing w:line="200" w:lineRule="atLeast"/>
              <w:rPr>
                <w:rFonts w:ascii="宋体" w:hAnsi="宋体" w:cs="宋体"/>
                <w:kern w:val="0"/>
                <w:szCs w:val="21"/>
              </w:rPr>
            </w:pPr>
            <w:r>
              <w:rPr>
                <w:rFonts w:hint="eastAsia" w:ascii="宋体" w:hAnsi="宋体" w:cs="宋体"/>
                <w:kern w:val="0"/>
                <w:szCs w:val="21"/>
              </w:rPr>
              <w:t>英语系</w:t>
            </w:r>
          </w:p>
        </w:tc>
        <w:tc>
          <w:tcPr>
            <w:tcW w:w="2293" w:type="dxa"/>
            <w:tcBorders>
              <w:top w:val="single" w:color="auto" w:sz="4" w:space="0"/>
              <w:left w:val="nil"/>
              <w:bottom w:val="single" w:color="auto" w:sz="4" w:space="0"/>
              <w:right w:val="single" w:color="auto" w:sz="4" w:space="0"/>
            </w:tcBorders>
            <w:noWrap/>
            <w:vAlign w:val="center"/>
          </w:tcPr>
          <w:p>
            <w:pPr>
              <w:widowControl/>
              <w:spacing w:line="200" w:lineRule="atLeast"/>
              <w:rPr>
                <w:rFonts w:ascii="宋体" w:hAnsi="宋体" w:cs="宋体"/>
                <w:kern w:val="0"/>
                <w:szCs w:val="21"/>
              </w:rPr>
            </w:pPr>
            <w:r>
              <w:rPr>
                <w:rFonts w:hint="eastAsia" w:ascii="宋体" w:hAnsi="宋体" w:cs="宋体"/>
                <w:kern w:val="0"/>
                <w:szCs w:val="21"/>
              </w:rPr>
              <w:t>应用英语</w:t>
            </w:r>
          </w:p>
        </w:tc>
        <w:tc>
          <w:tcPr>
            <w:tcW w:w="388" w:type="dxa"/>
            <w:tcBorders>
              <w:top w:val="single" w:color="auto" w:sz="4" w:space="0"/>
              <w:left w:val="nil"/>
              <w:bottom w:val="single" w:color="auto" w:sz="4" w:space="0"/>
              <w:right w:val="single" w:color="auto" w:sz="4" w:space="0"/>
            </w:tcBorders>
            <w:noWrap/>
            <w:vAlign w:val="center"/>
          </w:tcPr>
          <w:p>
            <w:pPr>
              <w:widowControl/>
              <w:spacing w:line="200" w:lineRule="atLeast"/>
              <w:rPr>
                <w:rFonts w:ascii="宋体" w:hAnsi="宋体" w:cs="宋体"/>
                <w:kern w:val="0"/>
                <w:szCs w:val="21"/>
              </w:rPr>
            </w:pPr>
            <w:r>
              <w:rPr>
                <w:rFonts w:hint="eastAsia" w:ascii="宋体" w:hAnsi="宋体" w:cs="宋体"/>
                <w:kern w:val="0"/>
                <w:szCs w:val="21"/>
              </w:rPr>
              <w:t>5</w:t>
            </w:r>
          </w:p>
        </w:tc>
        <w:tc>
          <w:tcPr>
            <w:tcW w:w="637" w:type="dxa"/>
            <w:tcBorders>
              <w:top w:val="nil"/>
              <w:left w:val="nil"/>
              <w:bottom w:val="single" w:color="auto" w:sz="4" w:space="0"/>
              <w:right w:val="single" w:color="auto" w:sz="4" w:space="0"/>
            </w:tcBorders>
            <w:noWrap/>
            <w:vAlign w:val="center"/>
          </w:tcPr>
          <w:p>
            <w:pPr>
              <w:widowControl/>
              <w:spacing w:line="200" w:lineRule="atLeast"/>
              <w:rPr>
                <w:rFonts w:ascii="宋体" w:hAnsi="宋体" w:cs="宋体"/>
                <w:kern w:val="0"/>
                <w:szCs w:val="21"/>
              </w:rPr>
            </w:pPr>
            <w:r>
              <w:rPr>
                <w:rFonts w:hint="eastAsia" w:ascii="宋体" w:hAnsi="宋体" w:cs="宋体"/>
                <w:kern w:val="0"/>
                <w:szCs w:val="21"/>
              </w:rPr>
              <w:t>专科</w:t>
            </w:r>
          </w:p>
        </w:tc>
        <w:tc>
          <w:tcPr>
            <w:tcW w:w="1063" w:type="dxa"/>
            <w:tcBorders>
              <w:top w:val="single" w:color="auto" w:sz="4" w:space="0"/>
              <w:left w:val="nil"/>
              <w:bottom w:val="single" w:color="auto" w:sz="4" w:space="0"/>
              <w:right w:val="single" w:color="auto" w:sz="4" w:space="0"/>
            </w:tcBorders>
            <w:noWrap/>
            <w:vAlign w:val="center"/>
          </w:tcPr>
          <w:p>
            <w:pPr>
              <w:widowControl/>
              <w:spacing w:line="200" w:lineRule="atLeast"/>
              <w:rPr>
                <w:rFonts w:hint="default" w:ascii="宋体" w:hAnsi="宋体" w:eastAsia="宋体" w:cs="宋体"/>
                <w:kern w:val="0"/>
                <w:szCs w:val="21"/>
                <w:lang w:val="en-US" w:eastAsia="zh-CN"/>
              </w:rPr>
            </w:pPr>
            <w:r>
              <w:rPr>
                <w:rFonts w:hint="eastAsia" w:ascii="宋体" w:hAnsi="宋体" w:cs="宋体"/>
                <w:kern w:val="0"/>
                <w:szCs w:val="21"/>
                <w:lang w:val="en-US" w:eastAsia="zh-CN"/>
              </w:rPr>
              <w:t>110</w:t>
            </w:r>
          </w:p>
        </w:tc>
        <w:tc>
          <w:tcPr>
            <w:tcW w:w="689" w:type="dxa"/>
            <w:vMerge w:val="restart"/>
            <w:tcBorders>
              <w:top w:val="single" w:color="auto" w:sz="4" w:space="0"/>
              <w:left w:val="nil"/>
              <w:right w:val="single" w:color="auto" w:sz="4" w:space="0"/>
            </w:tcBorders>
            <w:noWrap/>
            <w:vAlign w:val="center"/>
          </w:tcPr>
          <w:p>
            <w:pPr>
              <w:widowControl/>
              <w:spacing w:line="200" w:lineRule="atLeast"/>
              <w:rPr>
                <w:rFonts w:hint="default" w:ascii="宋体" w:hAnsi="宋体" w:eastAsia="宋体" w:cs="宋体"/>
                <w:kern w:val="0"/>
                <w:szCs w:val="21"/>
                <w:lang w:val="en-US" w:eastAsia="zh-CN"/>
              </w:rPr>
            </w:pPr>
            <w:r>
              <w:rPr>
                <w:rFonts w:hint="eastAsia" w:ascii="宋体" w:hAnsi="宋体" w:cs="宋体"/>
                <w:kern w:val="0"/>
                <w:szCs w:val="21"/>
                <w:lang w:val="en-US" w:eastAsia="zh-CN"/>
              </w:rPr>
              <w:t>286</w:t>
            </w:r>
          </w:p>
        </w:tc>
      </w:tr>
      <w:tr>
        <w:tblPrEx>
          <w:tblCellMar>
            <w:top w:w="0" w:type="dxa"/>
            <w:left w:w="108" w:type="dxa"/>
            <w:bottom w:w="0" w:type="dxa"/>
            <w:right w:w="108" w:type="dxa"/>
          </w:tblCellMar>
        </w:tblPrEx>
        <w:trPr>
          <w:trHeight w:val="283" w:hRule="atLeast"/>
          <w:jc w:val="center"/>
        </w:trPr>
        <w:tc>
          <w:tcPr>
            <w:tcW w:w="1266" w:type="dxa"/>
            <w:vMerge w:val="continue"/>
            <w:tcBorders>
              <w:top w:val="single" w:color="auto" w:sz="4" w:space="0"/>
              <w:left w:val="single" w:color="auto" w:sz="4" w:space="0"/>
              <w:bottom w:val="single" w:color="000000" w:sz="4" w:space="0"/>
              <w:right w:val="single" w:color="auto" w:sz="4" w:space="0"/>
            </w:tcBorders>
            <w:noWrap/>
            <w:vAlign w:val="center"/>
          </w:tcPr>
          <w:p>
            <w:pPr>
              <w:widowControl/>
              <w:spacing w:line="200" w:lineRule="atLeast"/>
              <w:rPr>
                <w:rFonts w:ascii="宋体" w:hAnsi="宋体" w:cs="宋体"/>
                <w:kern w:val="0"/>
                <w:szCs w:val="21"/>
              </w:rPr>
            </w:pPr>
          </w:p>
        </w:tc>
        <w:tc>
          <w:tcPr>
            <w:tcW w:w="2293" w:type="dxa"/>
            <w:tcBorders>
              <w:top w:val="nil"/>
              <w:left w:val="nil"/>
              <w:bottom w:val="single" w:color="auto" w:sz="4" w:space="0"/>
              <w:right w:val="single" w:color="auto" w:sz="4" w:space="0"/>
            </w:tcBorders>
            <w:noWrap/>
            <w:vAlign w:val="center"/>
          </w:tcPr>
          <w:p>
            <w:pPr>
              <w:widowControl/>
              <w:spacing w:line="200" w:lineRule="atLeast"/>
              <w:rPr>
                <w:rFonts w:ascii="宋体" w:hAnsi="宋体" w:cs="宋体"/>
                <w:kern w:val="0"/>
                <w:szCs w:val="21"/>
              </w:rPr>
            </w:pPr>
            <w:r>
              <w:rPr>
                <w:rFonts w:hint="eastAsia" w:ascii="宋体" w:hAnsi="宋体" w:cs="宋体"/>
                <w:kern w:val="0"/>
                <w:szCs w:val="21"/>
              </w:rPr>
              <w:t>应用英语</w:t>
            </w:r>
          </w:p>
        </w:tc>
        <w:tc>
          <w:tcPr>
            <w:tcW w:w="388" w:type="dxa"/>
            <w:tcBorders>
              <w:top w:val="nil"/>
              <w:left w:val="nil"/>
              <w:bottom w:val="single" w:color="auto" w:sz="4" w:space="0"/>
              <w:right w:val="single" w:color="auto" w:sz="4" w:space="0"/>
            </w:tcBorders>
            <w:noWrap/>
            <w:vAlign w:val="center"/>
          </w:tcPr>
          <w:p>
            <w:pPr>
              <w:widowControl/>
              <w:spacing w:line="200" w:lineRule="atLeast"/>
              <w:rPr>
                <w:rFonts w:ascii="宋体" w:hAnsi="宋体" w:cs="宋体"/>
                <w:kern w:val="0"/>
                <w:szCs w:val="21"/>
              </w:rPr>
            </w:pPr>
            <w:r>
              <w:rPr>
                <w:rFonts w:hint="eastAsia" w:ascii="宋体" w:hAnsi="宋体" w:cs="宋体"/>
                <w:kern w:val="0"/>
                <w:szCs w:val="21"/>
              </w:rPr>
              <w:t>3</w:t>
            </w:r>
          </w:p>
        </w:tc>
        <w:tc>
          <w:tcPr>
            <w:tcW w:w="637" w:type="dxa"/>
            <w:tcBorders>
              <w:top w:val="nil"/>
              <w:left w:val="nil"/>
              <w:bottom w:val="single" w:color="auto" w:sz="4" w:space="0"/>
              <w:right w:val="single" w:color="auto" w:sz="4" w:space="0"/>
            </w:tcBorders>
            <w:noWrap/>
            <w:vAlign w:val="center"/>
          </w:tcPr>
          <w:p>
            <w:pPr>
              <w:widowControl/>
              <w:spacing w:line="200" w:lineRule="atLeast"/>
              <w:rPr>
                <w:rFonts w:ascii="宋体" w:hAnsi="宋体" w:cs="宋体"/>
                <w:kern w:val="0"/>
                <w:szCs w:val="21"/>
              </w:rPr>
            </w:pPr>
            <w:r>
              <w:rPr>
                <w:rFonts w:hint="eastAsia" w:ascii="宋体" w:hAnsi="宋体" w:cs="宋体"/>
                <w:kern w:val="0"/>
                <w:szCs w:val="21"/>
              </w:rPr>
              <w:t>专科</w:t>
            </w:r>
          </w:p>
        </w:tc>
        <w:tc>
          <w:tcPr>
            <w:tcW w:w="1063" w:type="dxa"/>
            <w:tcBorders>
              <w:top w:val="nil"/>
              <w:left w:val="nil"/>
              <w:bottom w:val="single" w:color="auto" w:sz="4" w:space="0"/>
              <w:right w:val="single" w:color="auto" w:sz="4" w:space="0"/>
            </w:tcBorders>
            <w:noWrap/>
            <w:vAlign w:val="center"/>
          </w:tcPr>
          <w:p>
            <w:pPr>
              <w:widowControl/>
              <w:spacing w:line="200" w:lineRule="atLeast"/>
              <w:rPr>
                <w:rFonts w:hint="default" w:ascii="宋体" w:hAnsi="宋体" w:eastAsia="宋体" w:cs="宋体"/>
                <w:kern w:val="0"/>
                <w:szCs w:val="21"/>
                <w:lang w:val="en-US" w:eastAsia="zh-CN"/>
              </w:rPr>
            </w:pPr>
            <w:r>
              <w:rPr>
                <w:rFonts w:hint="eastAsia" w:ascii="宋体" w:hAnsi="宋体" w:cs="宋体"/>
                <w:kern w:val="0"/>
                <w:szCs w:val="21"/>
                <w:lang w:val="en-US" w:eastAsia="zh-CN"/>
              </w:rPr>
              <w:t>159</w:t>
            </w:r>
          </w:p>
        </w:tc>
        <w:tc>
          <w:tcPr>
            <w:tcW w:w="689" w:type="dxa"/>
            <w:vMerge w:val="continue"/>
            <w:tcBorders>
              <w:left w:val="nil"/>
              <w:right w:val="single" w:color="auto" w:sz="4" w:space="0"/>
            </w:tcBorders>
            <w:noWrap/>
            <w:vAlign w:val="center"/>
          </w:tcPr>
          <w:p>
            <w:pPr>
              <w:widowControl/>
              <w:spacing w:line="200" w:lineRule="atLeast"/>
              <w:rPr>
                <w:rFonts w:ascii="宋体" w:hAnsi="宋体" w:cs="宋体"/>
                <w:kern w:val="0"/>
                <w:szCs w:val="21"/>
              </w:rPr>
            </w:pPr>
          </w:p>
        </w:tc>
      </w:tr>
      <w:tr>
        <w:tblPrEx>
          <w:tblCellMar>
            <w:top w:w="0" w:type="dxa"/>
            <w:left w:w="108" w:type="dxa"/>
            <w:bottom w:w="0" w:type="dxa"/>
            <w:right w:w="108" w:type="dxa"/>
          </w:tblCellMar>
        </w:tblPrEx>
        <w:trPr>
          <w:trHeight w:val="297" w:hRule="atLeast"/>
          <w:jc w:val="center"/>
        </w:trPr>
        <w:tc>
          <w:tcPr>
            <w:tcW w:w="1266" w:type="dxa"/>
            <w:vMerge w:val="continue"/>
            <w:tcBorders>
              <w:top w:val="single" w:color="auto" w:sz="4" w:space="0"/>
              <w:left w:val="single" w:color="auto" w:sz="4" w:space="0"/>
              <w:bottom w:val="single" w:color="000000" w:sz="4" w:space="0"/>
              <w:right w:val="single" w:color="auto" w:sz="4" w:space="0"/>
            </w:tcBorders>
            <w:noWrap/>
            <w:vAlign w:val="center"/>
          </w:tcPr>
          <w:p>
            <w:pPr>
              <w:widowControl/>
              <w:spacing w:line="200" w:lineRule="atLeast"/>
              <w:rPr>
                <w:rFonts w:ascii="宋体" w:hAnsi="宋体" w:cs="宋体"/>
                <w:kern w:val="0"/>
                <w:szCs w:val="21"/>
              </w:rPr>
            </w:pPr>
          </w:p>
        </w:tc>
        <w:tc>
          <w:tcPr>
            <w:tcW w:w="2293" w:type="dxa"/>
            <w:tcBorders>
              <w:top w:val="nil"/>
              <w:left w:val="nil"/>
              <w:bottom w:val="single" w:color="auto" w:sz="4" w:space="0"/>
              <w:right w:val="single" w:color="auto" w:sz="4" w:space="0"/>
            </w:tcBorders>
            <w:noWrap/>
            <w:vAlign w:val="center"/>
          </w:tcPr>
          <w:p>
            <w:pPr>
              <w:widowControl/>
              <w:spacing w:line="200" w:lineRule="atLeast"/>
              <w:rPr>
                <w:rFonts w:ascii="宋体" w:hAnsi="宋体" w:cs="宋体"/>
                <w:kern w:val="0"/>
                <w:szCs w:val="21"/>
              </w:rPr>
            </w:pPr>
            <w:r>
              <w:rPr>
                <w:rFonts w:hint="eastAsia" w:ascii="宋体" w:hAnsi="宋体" w:cs="宋体"/>
                <w:kern w:val="0"/>
                <w:szCs w:val="21"/>
              </w:rPr>
              <w:t>首饰</w:t>
            </w:r>
            <w:r>
              <w:rPr>
                <w:rFonts w:hint="eastAsia" w:ascii="宋体" w:hAnsi="宋体" w:cs="宋体"/>
                <w:kern w:val="0"/>
                <w:szCs w:val="21"/>
                <w:lang w:eastAsia="zh-CN"/>
              </w:rPr>
              <w:t>设计</w:t>
            </w:r>
            <w:r>
              <w:rPr>
                <w:rFonts w:hint="eastAsia" w:ascii="宋体" w:hAnsi="宋体" w:cs="宋体"/>
                <w:kern w:val="0"/>
                <w:szCs w:val="21"/>
              </w:rPr>
              <w:t>与工艺</w:t>
            </w:r>
          </w:p>
        </w:tc>
        <w:tc>
          <w:tcPr>
            <w:tcW w:w="388" w:type="dxa"/>
            <w:tcBorders>
              <w:top w:val="nil"/>
              <w:left w:val="nil"/>
              <w:bottom w:val="single" w:color="auto" w:sz="4" w:space="0"/>
              <w:right w:val="single" w:color="auto" w:sz="4" w:space="0"/>
            </w:tcBorders>
            <w:noWrap/>
            <w:vAlign w:val="center"/>
          </w:tcPr>
          <w:p>
            <w:pPr>
              <w:widowControl/>
              <w:spacing w:line="200" w:lineRule="atLeast"/>
              <w:rPr>
                <w:rFonts w:ascii="宋体" w:hAnsi="宋体" w:cs="宋体"/>
                <w:kern w:val="0"/>
                <w:szCs w:val="21"/>
              </w:rPr>
            </w:pPr>
            <w:r>
              <w:rPr>
                <w:rFonts w:hint="eastAsia" w:ascii="宋体" w:hAnsi="宋体" w:cs="宋体"/>
                <w:kern w:val="0"/>
                <w:szCs w:val="21"/>
              </w:rPr>
              <w:t>3</w:t>
            </w:r>
          </w:p>
        </w:tc>
        <w:tc>
          <w:tcPr>
            <w:tcW w:w="637" w:type="dxa"/>
            <w:tcBorders>
              <w:top w:val="nil"/>
              <w:left w:val="nil"/>
              <w:bottom w:val="single" w:color="auto" w:sz="4" w:space="0"/>
              <w:right w:val="single" w:color="auto" w:sz="4" w:space="0"/>
            </w:tcBorders>
            <w:noWrap/>
            <w:vAlign w:val="center"/>
          </w:tcPr>
          <w:p>
            <w:pPr>
              <w:widowControl/>
              <w:spacing w:line="200" w:lineRule="atLeast"/>
              <w:rPr>
                <w:rFonts w:ascii="宋体" w:hAnsi="宋体" w:cs="宋体"/>
                <w:kern w:val="0"/>
                <w:szCs w:val="21"/>
              </w:rPr>
            </w:pPr>
            <w:r>
              <w:rPr>
                <w:rFonts w:hint="eastAsia" w:ascii="宋体" w:hAnsi="宋体" w:cs="宋体"/>
                <w:kern w:val="0"/>
                <w:szCs w:val="21"/>
              </w:rPr>
              <w:t>专科</w:t>
            </w:r>
          </w:p>
        </w:tc>
        <w:tc>
          <w:tcPr>
            <w:tcW w:w="1063" w:type="dxa"/>
            <w:tcBorders>
              <w:top w:val="nil"/>
              <w:left w:val="nil"/>
              <w:bottom w:val="single" w:color="auto" w:sz="4" w:space="0"/>
              <w:right w:val="single" w:color="auto" w:sz="4" w:space="0"/>
            </w:tcBorders>
            <w:noWrap/>
            <w:vAlign w:val="center"/>
          </w:tcPr>
          <w:p>
            <w:pPr>
              <w:widowControl/>
              <w:spacing w:line="200" w:lineRule="atLeast"/>
              <w:rPr>
                <w:rFonts w:hint="default" w:ascii="宋体" w:hAnsi="宋体" w:eastAsia="宋体" w:cs="宋体"/>
                <w:kern w:val="0"/>
                <w:szCs w:val="21"/>
                <w:lang w:val="en-US" w:eastAsia="zh-CN"/>
              </w:rPr>
            </w:pPr>
            <w:r>
              <w:rPr>
                <w:rFonts w:hint="eastAsia" w:ascii="宋体" w:hAnsi="宋体" w:cs="宋体"/>
                <w:kern w:val="0"/>
                <w:szCs w:val="21"/>
                <w:lang w:val="en-US" w:eastAsia="zh-CN"/>
              </w:rPr>
              <w:t>16</w:t>
            </w:r>
          </w:p>
        </w:tc>
        <w:tc>
          <w:tcPr>
            <w:tcW w:w="689" w:type="dxa"/>
            <w:vMerge w:val="continue"/>
            <w:tcBorders>
              <w:left w:val="nil"/>
              <w:bottom w:val="single" w:color="auto" w:sz="4" w:space="0"/>
              <w:right w:val="single" w:color="auto" w:sz="4" w:space="0"/>
            </w:tcBorders>
            <w:noWrap/>
            <w:vAlign w:val="center"/>
          </w:tcPr>
          <w:p>
            <w:pPr>
              <w:widowControl/>
              <w:spacing w:line="200" w:lineRule="atLeast"/>
              <w:rPr>
                <w:rFonts w:ascii="宋体" w:hAnsi="宋体" w:cs="宋体"/>
                <w:kern w:val="0"/>
                <w:szCs w:val="21"/>
              </w:rPr>
            </w:pPr>
          </w:p>
        </w:tc>
      </w:tr>
      <w:tr>
        <w:tblPrEx>
          <w:tblCellMar>
            <w:top w:w="0" w:type="dxa"/>
            <w:left w:w="108" w:type="dxa"/>
            <w:bottom w:w="0" w:type="dxa"/>
            <w:right w:w="108" w:type="dxa"/>
          </w:tblCellMar>
        </w:tblPrEx>
        <w:trPr>
          <w:trHeight w:val="231" w:hRule="atLeast"/>
          <w:jc w:val="center"/>
        </w:trPr>
        <w:tc>
          <w:tcPr>
            <w:tcW w:w="1266" w:type="dxa"/>
            <w:vMerge w:val="continue"/>
            <w:tcBorders>
              <w:left w:val="single" w:color="auto" w:sz="4" w:space="0"/>
              <w:bottom w:val="single" w:color="000000" w:sz="4" w:space="0"/>
              <w:right w:val="single" w:color="auto" w:sz="4" w:space="0"/>
            </w:tcBorders>
            <w:noWrap/>
            <w:vAlign w:val="center"/>
          </w:tcPr>
          <w:p>
            <w:pPr>
              <w:widowControl/>
              <w:spacing w:line="200" w:lineRule="atLeast"/>
              <w:rPr>
                <w:rFonts w:ascii="宋体" w:hAnsi="宋体" w:cs="宋体"/>
                <w:kern w:val="0"/>
                <w:szCs w:val="21"/>
              </w:rPr>
            </w:pPr>
          </w:p>
        </w:tc>
        <w:tc>
          <w:tcPr>
            <w:tcW w:w="2293" w:type="dxa"/>
            <w:tcBorders>
              <w:top w:val="single" w:color="auto" w:sz="4" w:space="0"/>
              <w:left w:val="nil"/>
              <w:bottom w:val="single" w:color="auto" w:sz="4" w:space="0"/>
              <w:right w:val="single" w:color="auto" w:sz="4" w:space="0"/>
            </w:tcBorders>
            <w:noWrap/>
            <w:vAlign w:val="center"/>
          </w:tcPr>
          <w:p>
            <w:pPr>
              <w:widowControl/>
              <w:spacing w:line="200" w:lineRule="atLeast"/>
              <w:rPr>
                <w:rFonts w:hint="eastAsia" w:ascii="宋体" w:hAnsi="宋体" w:eastAsia="宋体" w:cs="宋体"/>
                <w:kern w:val="0"/>
                <w:sz w:val="21"/>
                <w:szCs w:val="21"/>
                <w:lang w:val="en-US" w:eastAsia="zh-CN" w:bidi="ar-SA"/>
              </w:rPr>
            </w:pPr>
            <w:r>
              <w:rPr>
                <w:rFonts w:hint="eastAsia" w:ascii="宋体" w:hAnsi="宋体" w:cs="宋体"/>
                <w:kern w:val="0"/>
                <w:szCs w:val="21"/>
              </w:rPr>
              <w:t>首饰</w:t>
            </w:r>
            <w:r>
              <w:rPr>
                <w:rFonts w:hint="eastAsia" w:ascii="宋体" w:hAnsi="宋体" w:cs="宋体"/>
                <w:kern w:val="0"/>
                <w:szCs w:val="21"/>
                <w:lang w:eastAsia="zh-CN"/>
              </w:rPr>
              <w:t>设计</w:t>
            </w:r>
            <w:r>
              <w:rPr>
                <w:rFonts w:hint="eastAsia" w:ascii="宋体" w:hAnsi="宋体" w:cs="宋体"/>
                <w:kern w:val="0"/>
                <w:szCs w:val="21"/>
              </w:rPr>
              <w:t>与工艺</w:t>
            </w:r>
          </w:p>
        </w:tc>
        <w:tc>
          <w:tcPr>
            <w:tcW w:w="388" w:type="dxa"/>
            <w:tcBorders>
              <w:top w:val="single" w:color="auto" w:sz="4" w:space="0"/>
              <w:left w:val="nil"/>
              <w:bottom w:val="single" w:color="auto" w:sz="4" w:space="0"/>
              <w:right w:val="single" w:color="auto" w:sz="4" w:space="0"/>
            </w:tcBorders>
            <w:noWrap/>
            <w:vAlign w:val="center"/>
          </w:tcPr>
          <w:p>
            <w:pPr>
              <w:widowControl/>
              <w:spacing w:line="200" w:lineRule="atLeast"/>
              <w:rPr>
                <w:rFonts w:hint="eastAsia" w:ascii="宋体" w:hAnsi="宋体" w:eastAsia="宋体" w:cs="宋体"/>
                <w:kern w:val="0"/>
                <w:szCs w:val="21"/>
                <w:lang w:val="en-US" w:eastAsia="zh-CN"/>
              </w:rPr>
            </w:pPr>
            <w:r>
              <w:rPr>
                <w:rFonts w:hint="eastAsia" w:ascii="宋体" w:hAnsi="宋体" w:cs="宋体"/>
                <w:kern w:val="0"/>
                <w:szCs w:val="21"/>
                <w:lang w:val="en-US" w:eastAsia="zh-CN"/>
              </w:rPr>
              <w:t>2</w:t>
            </w:r>
          </w:p>
        </w:tc>
        <w:tc>
          <w:tcPr>
            <w:tcW w:w="637" w:type="dxa"/>
            <w:tcBorders>
              <w:top w:val="single" w:color="auto" w:sz="4" w:space="0"/>
              <w:left w:val="nil"/>
              <w:bottom w:val="single" w:color="auto" w:sz="4" w:space="0"/>
              <w:right w:val="single" w:color="auto" w:sz="4" w:space="0"/>
            </w:tcBorders>
            <w:noWrap/>
            <w:vAlign w:val="center"/>
          </w:tcPr>
          <w:p>
            <w:pPr>
              <w:widowControl/>
              <w:spacing w:line="200" w:lineRule="atLeast"/>
              <w:rPr>
                <w:rFonts w:hint="eastAsia" w:ascii="宋体" w:hAnsi="宋体" w:cs="宋体"/>
                <w:kern w:val="0"/>
                <w:szCs w:val="21"/>
              </w:rPr>
            </w:pPr>
            <w:r>
              <w:rPr>
                <w:rFonts w:hint="eastAsia" w:ascii="宋体" w:hAnsi="宋体" w:cs="宋体"/>
                <w:kern w:val="0"/>
                <w:szCs w:val="21"/>
              </w:rPr>
              <w:t>专科</w:t>
            </w:r>
          </w:p>
        </w:tc>
        <w:tc>
          <w:tcPr>
            <w:tcW w:w="1063" w:type="dxa"/>
            <w:tcBorders>
              <w:top w:val="single" w:color="auto" w:sz="4" w:space="0"/>
              <w:left w:val="nil"/>
              <w:bottom w:val="single" w:color="auto" w:sz="4" w:space="0"/>
              <w:right w:val="single" w:color="auto" w:sz="4" w:space="0"/>
            </w:tcBorders>
            <w:noWrap/>
            <w:vAlign w:val="center"/>
          </w:tcPr>
          <w:p>
            <w:pPr>
              <w:widowControl/>
              <w:spacing w:line="200" w:lineRule="atLeast"/>
              <w:rPr>
                <w:rFonts w:hint="eastAsia" w:ascii="宋体" w:hAnsi="宋体" w:eastAsia="宋体" w:cs="宋体"/>
                <w:kern w:val="0"/>
                <w:szCs w:val="21"/>
                <w:lang w:val="en-US" w:eastAsia="zh-CN"/>
              </w:rPr>
            </w:pPr>
            <w:r>
              <w:rPr>
                <w:rFonts w:hint="eastAsia" w:ascii="宋体" w:hAnsi="宋体" w:cs="宋体"/>
                <w:kern w:val="0"/>
                <w:szCs w:val="21"/>
                <w:lang w:val="en-US" w:eastAsia="zh-CN"/>
              </w:rPr>
              <w:t>1</w:t>
            </w:r>
          </w:p>
        </w:tc>
        <w:tc>
          <w:tcPr>
            <w:tcW w:w="689" w:type="dxa"/>
            <w:vMerge w:val="continue"/>
            <w:tcBorders>
              <w:left w:val="nil"/>
              <w:bottom w:val="single" w:color="auto" w:sz="4" w:space="0"/>
              <w:right w:val="single" w:color="auto" w:sz="4" w:space="0"/>
            </w:tcBorders>
            <w:noWrap/>
            <w:vAlign w:val="center"/>
          </w:tcPr>
          <w:p>
            <w:pPr>
              <w:widowControl/>
              <w:spacing w:line="200" w:lineRule="atLeast"/>
              <w:rPr>
                <w:rFonts w:ascii="宋体" w:hAnsi="宋体" w:cs="宋体"/>
                <w:kern w:val="0"/>
                <w:szCs w:val="21"/>
              </w:rPr>
            </w:pPr>
          </w:p>
        </w:tc>
      </w:tr>
      <w:tr>
        <w:tblPrEx>
          <w:tblCellMar>
            <w:top w:w="0" w:type="dxa"/>
            <w:left w:w="108" w:type="dxa"/>
            <w:bottom w:w="0" w:type="dxa"/>
            <w:right w:w="108" w:type="dxa"/>
          </w:tblCellMar>
        </w:tblPrEx>
        <w:trPr>
          <w:trHeight w:val="300" w:hRule="atLeast"/>
          <w:jc w:val="center"/>
        </w:trPr>
        <w:tc>
          <w:tcPr>
            <w:tcW w:w="1266" w:type="dxa"/>
            <w:vMerge w:val="restart"/>
            <w:tcBorders>
              <w:top w:val="nil"/>
              <w:left w:val="single" w:color="auto" w:sz="4" w:space="0"/>
              <w:bottom w:val="single" w:color="000000" w:sz="4" w:space="0"/>
              <w:right w:val="single" w:color="auto" w:sz="4" w:space="0"/>
            </w:tcBorders>
            <w:noWrap/>
            <w:vAlign w:val="center"/>
          </w:tcPr>
          <w:p>
            <w:pPr>
              <w:widowControl/>
              <w:spacing w:line="200" w:lineRule="atLeast"/>
              <w:rPr>
                <w:rFonts w:ascii="宋体" w:hAnsi="宋体" w:cs="宋体"/>
                <w:kern w:val="0"/>
                <w:szCs w:val="21"/>
              </w:rPr>
            </w:pPr>
            <w:r>
              <w:rPr>
                <w:rFonts w:hint="eastAsia" w:ascii="宋体" w:hAnsi="宋体" w:cs="宋体"/>
                <w:kern w:val="0"/>
                <w:szCs w:val="21"/>
              </w:rPr>
              <w:t>国际商务系</w:t>
            </w:r>
          </w:p>
        </w:tc>
        <w:tc>
          <w:tcPr>
            <w:tcW w:w="2293"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cs="宋体"/>
                <w:kern w:val="0"/>
                <w:szCs w:val="21"/>
              </w:rPr>
            </w:pPr>
            <w:r>
              <w:rPr>
                <w:rFonts w:hint="eastAsia" w:ascii="宋体" w:hAnsi="宋体" w:eastAsia="宋体" w:cs="宋体"/>
                <w:i w:val="0"/>
                <w:color w:val="000000"/>
                <w:kern w:val="0"/>
                <w:sz w:val="22"/>
                <w:szCs w:val="22"/>
                <w:u w:val="none"/>
                <w:lang w:val="en-US" w:eastAsia="zh-CN" w:bidi="ar"/>
              </w:rPr>
              <w:t>电子商务</w:t>
            </w:r>
          </w:p>
        </w:tc>
        <w:tc>
          <w:tcPr>
            <w:tcW w:w="388" w:type="dxa"/>
            <w:tcBorders>
              <w:top w:val="nil"/>
              <w:left w:val="nil"/>
              <w:bottom w:val="single" w:color="auto" w:sz="4" w:space="0"/>
              <w:right w:val="single" w:color="auto" w:sz="4" w:space="0"/>
            </w:tcBorders>
            <w:noWrap/>
            <w:vAlign w:val="center"/>
          </w:tcPr>
          <w:p>
            <w:pPr>
              <w:widowControl/>
              <w:spacing w:line="200" w:lineRule="atLeast"/>
              <w:rPr>
                <w:rFonts w:hint="eastAsia" w:ascii="宋体" w:hAnsi="宋体" w:eastAsia="宋体" w:cs="宋体"/>
                <w:kern w:val="0"/>
                <w:szCs w:val="21"/>
                <w:lang w:val="en-US" w:eastAsia="zh-CN"/>
              </w:rPr>
            </w:pPr>
            <w:r>
              <w:rPr>
                <w:rFonts w:hint="eastAsia" w:ascii="宋体" w:hAnsi="宋体" w:cs="宋体"/>
                <w:kern w:val="0"/>
                <w:szCs w:val="21"/>
                <w:lang w:val="en-US" w:eastAsia="zh-CN"/>
              </w:rPr>
              <w:t>3</w:t>
            </w:r>
          </w:p>
        </w:tc>
        <w:tc>
          <w:tcPr>
            <w:tcW w:w="637" w:type="dxa"/>
            <w:tcBorders>
              <w:top w:val="nil"/>
              <w:left w:val="nil"/>
              <w:bottom w:val="single" w:color="auto" w:sz="4" w:space="0"/>
              <w:right w:val="single" w:color="auto" w:sz="4" w:space="0"/>
            </w:tcBorders>
            <w:noWrap/>
            <w:vAlign w:val="center"/>
          </w:tcPr>
          <w:p>
            <w:pPr>
              <w:widowControl/>
              <w:spacing w:line="200" w:lineRule="atLeast"/>
              <w:rPr>
                <w:rFonts w:ascii="宋体" w:hAnsi="宋体" w:cs="宋体"/>
                <w:kern w:val="0"/>
                <w:szCs w:val="21"/>
              </w:rPr>
            </w:pPr>
            <w:r>
              <w:rPr>
                <w:rFonts w:hint="eastAsia" w:ascii="宋体" w:hAnsi="宋体" w:cs="宋体"/>
                <w:kern w:val="0"/>
                <w:szCs w:val="21"/>
              </w:rPr>
              <w:t>专科</w:t>
            </w:r>
          </w:p>
        </w:tc>
        <w:tc>
          <w:tcPr>
            <w:tcW w:w="1063" w:type="dxa"/>
            <w:tcBorders>
              <w:top w:val="nil"/>
              <w:left w:val="nil"/>
              <w:bottom w:val="single" w:color="auto" w:sz="4" w:space="0"/>
              <w:right w:val="single" w:color="auto" w:sz="4" w:space="0"/>
            </w:tcBorders>
            <w:noWrap/>
            <w:vAlign w:val="center"/>
          </w:tcPr>
          <w:p>
            <w:pPr>
              <w:widowControl/>
              <w:spacing w:line="200" w:lineRule="atLeast"/>
              <w:rPr>
                <w:rFonts w:hint="default" w:ascii="宋体" w:hAnsi="宋体" w:eastAsia="宋体" w:cs="宋体"/>
                <w:kern w:val="0"/>
                <w:szCs w:val="21"/>
                <w:lang w:val="en-US" w:eastAsia="zh-CN"/>
              </w:rPr>
            </w:pPr>
            <w:r>
              <w:rPr>
                <w:rFonts w:hint="eastAsia" w:ascii="宋体" w:hAnsi="宋体" w:cs="宋体"/>
                <w:kern w:val="0"/>
                <w:szCs w:val="21"/>
                <w:lang w:val="en-US" w:eastAsia="zh-CN"/>
              </w:rPr>
              <w:t>143</w:t>
            </w:r>
          </w:p>
        </w:tc>
        <w:tc>
          <w:tcPr>
            <w:tcW w:w="689" w:type="dxa"/>
            <w:vMerge w:val="restart"/>
            <w:tcBorders>
              <w:top w:val="nil"/>
              <w:left w:val="nil"/>
              <w:right w:val="single" w:color="auto" w:sz="4" w:space="0"/>
            </w:tcBorders>
            <w:noWrap/>
            <w:vAlign w:val="center"/>
          </w:tcPr>
          <w:p>
            <w:pPr>
              <w:widowControl/>
              <w:spacing w:line="200" w:lineRule="atLeast"/>
              <w:rPr>
                <w:rFonts w:hint="default" w:ascii="宋体" w:hAnsi="宋体" w:eastAsia="宋体" w:cs="宋体"/>
                <w:kern w:val="0"/>
                <w:szCs w:val="21"/>
                <w:lang w:val="en-US" w:eastAsia="zh-CN"/>
              </w:rPr>
            </w:pPr>
            <w:r>
              <w:rPr>
                <w:rFonts w:hint="eastAsia" w:ascii="宋体" w:hAnsi="宋体" w:cs="宋体"/>
                <w:kern w:val="0"/>
                <w:szCs w:val="21"/>
                <w:lang w:val="en-US" w:eastAsia="zh-CN"/>
              </w:rPr>
              <w:t>493</w:t>
            </w:r>
          </w:p>
        </w:tc>
      </w:tr>
      <w:tr>
        <w:tblPrEx>
          <w:tblCellMar>
            <w:top w:w="0" w:type="dxa"/>
            <w:left w:w="108" w:type="dxa"/>
            <w:bottom w:w="0" w:type="dxa"/>
            <w:right w:w="108" w:type="dxa"/>
          </w:tblCellMar>
        </w:tblPrEx>
        <w:trPr>
          <w:trHeight w:val="300" w:hRule="atLeast"/>
          <w:jc w:val="center"/>
        </w:trPr>
        <w:tc>
          <w:tcPr>
            <w:tcW w:w="1266" w:type="dxa"/>
            <w:vMerge w:val="continue"/>
            <w:tcBorders>
              <w:top w:val="nil"/>
              <w:left w:val="single" w:color="auto" w:sz="4" w:space="0"/>
              <w:bottom w:val="single" w:color="000000" w:sz="4" w:space="0"/>
              <w:right w:val="single" w:color="auto" w:sz="4" w:space="0"/>
            </w:tcBorders>
            <w:noWrap/>
            <w:vAlign w:val="center"/>
          </w:tcPr>
          <w:p>
            <w:pPr>
              <w:widowControl/>
              <w:spacing w:line="200" w:lineRule="atLeast"/>
              <w:rPr>
                <w:rFonts w:ascii="宋体" w:hAnsi="宋体" w:cs="宋体"/>
                <w:kern w:val="0"/>
                <w:szCs w:val="21"/>
              </w:rPr>
            </w:pPr>
          </w:p>
        </w:tc>
        <w:tc>
          <w:tcPr>
            <w:tcW w:w="2293"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cs="宋体"/>
                <w:kern w:val="0"/>
                <w:szCs w:val="21"/>
              </w:rPr>
            </w:pPr>
            <w:r>
              <w:rPr>
                <w:rFonts w:hint="eastAsia" w:ascii="宋体" w:hAnsi="宋体" w:eastAsia="宋体" w:cs="宋体"/>
                <w:i w:val="0"/>
                <w:color w:val="000000"/>
                <w:kern w:val="0"/>
                <w:sz w:val="22"/>
                <w:szCs w:val="22"/>
                <w:u w:val="none"/>
                <w:lang w:val="en-US" w:eastAsia="zh-CN" w:bidi="ar"/>
              </w:rPr>
              <w:t>电子商务</w:t>
            </w:r>
          </w:p>
        </w:tc>
        <w:tc>
          <w:tcPr>
            <w:tcW w:w="388" w:type="dxa"/>
            <w:tcBorders>
              <w:top w:val="nil"/>
              <w:left w:val="nil"/>
              <w:bottom w:val="single" w:color="auto" w:sz="4" w:space="0"/>
              <w:right w:val="single" w:color="auto" w:sz="4" w:space="0"/>
            </w:tcBorders>
            <w:noWrap/>
            <w:vAlign w:val="center"/>
          </w:tcPr>
          <w:p>
            <w:pPr>
              <w:widowControl/>
              <w:spacing w:line="200" w:lineRule="atLeast"/>
              <w:rPr>
                <w:rFonts w:hint="eastAsia" w:ascii="宋体" w:hAnsi="宋体" w:eastAsia="宋体" w:cs="宋体"/>
                <w:kern w:val="0"/>
                <w:szCs w:val="21"/>
                <w:lang w:eastAsia="zh-CN"/>
              </w:rPr>
            </w:pPr>
            <w:r>
              <w:rPr>
                <w:rFonts w:hint="eastAsia" w:ascii="宋体" w:hAnsi="宋体" w:cs="宋体"/>
                <w:kern w:val="0"/>
                <w:szCs w:val="21"/>
                <w:lang w:val="en-US" w:eastAsia="zh-CN"/>
              </w:rPr>
              <w:t>2</w:t>
            </w:r>
          </w:p>
        </w:tc>
        <w:tc>
          <w:tcPr>
            <w:tcW w:w="637" w:type="dxa"/>
            <w:tcBorders>
              <w:top w:val="nil"/>
              <w:left w:val="nil"/>
              <w:bottom w:val="single" w:color="auto" w:sz="4" w:space="0"/>
              <w:right w:val="single" w:color="auto" w:sz="4" w:space="0"/>
            </w:tcBorders>
            <w:noWrap/>
            <w:vAlign w:val="center"/>
          </w:tcPr>
          <w:p>
            <w:pPr>
              <w:widowControl/>
              <w:spacing w:line="200" w:lineRule="atLeast"/>
              <w:rPr>
                <w:rFonts w:ascii="宋体" w:hAnsi="宋体" w:cs="宋体"/>
                <w:kern w:val="0"/>
                <w:szCs w:val="21"/>
              </w:rPr>
            </w:pPr>
            <w:r>
              <w:rPr>
                <w:rFonts w:hint="eastAsia" w:ascii="宋体" w:hAnsi="宋体" w:cs="宋体"/>
                <w:kern w:val="0"/>
                <w:szCs w:val="21"/>
              </w:rPr>
              <w:t>专科</w:t>
            </w:r>
          </w:p>
        </w:tc>
        <w:tc>
          <w:tcPr>
            <w:tcW w:w="1063" w:type="dxa"/>
            <w:tcBorders>
              <w:top w:val="nil"/>
              <w:left w:val="nil"/>
              <w:bottom w:val="single" w:color="auto" w:sz="4" w:space="0"/>
              <w:right w:val="single" w:color="auto" w:sz="4" w:space="0"/>
            </w:tcBorders>
            <w:noWrap/>
            <w:vAlign w:val="center"/>
          </w:tcPr>
          <w:p>
            <w:pPr>
              <w:widowControl/>
              <w:spacing w:line="200" w:lineRule="atLeast"/>
              <w:rPr>
                <w:rFonts w:hint="default" w:ascii="宋体" w:hAnsi="宋体" w:eastAsia="宋体" w:cs="宋体"/>
                <w:kern w:val="0"/>
                <w:szCs w:val="21"/>
                <w:lang w:val="en-US" w:eastAsia="zh-CN"/>
              </w:rPr>
            </w:pPr>
            <w:r>
              <w:rPr>
                <w:rFonts w:hint="eastAsia" w:ascii="宋体" w:hAnsi="宋体" w:cs="宋体"/>
                <w:kern w:val="0"/>
                <w:szCs w:val="21"/>
                <w:lang w:val="en-US" w:eastAsia="zh-CN"/>
              </w:rPr>
              <w:t>7</w:t>
            </w:r>
          </w:p>
        </w:tc>
        <w:tc>
          <w:tcPr>
            <w:tcW w:w="689" w:type="dxa"/>
            <w:vMerge w:val="continue"/>
            <w:tcBorders>
              <w:left w:val="nil"/>
              <w:right w:val="single" w:color="auto" w:sz="4" w:space="0"/>
            </w:tcBorders>
            <w:noWrap/>
            <w:vAlign w:val="center"/>
          </w:tcPr>
          <w:p>
            <w:pPr>
              <w:widowControl/>
              <w:spacing w:line="200" w:lineRule="atLeast"/>
              <w:rPr>
                <w:rFonts w:ascii="宋体" w:hAnsi="宋体" w:cs="宋体"/>
                <w:kern w:val="0"/>
                <w:szCs w:val="21"/>
              </w:rPr>
            </w:pPr>
          </w:p>
        </w:tc>
      </w:tr>
      <w:tr>
        <w:tblPrEx>
          <w:tblCellMar>
            <w:top w:w="0" w:type="dxa"/>
            <w:left w:w="108" w:type="dxa"/>
            <w:bottom w:w="0" w:type="dxa"/>
            <w:right w:w="108" w:type="dxa"/>
          </w:tblCellMar>
        </w:tblPrEx>
        <w:trPr>
          <w:trHeight w:val="280" w:hRule="atLeast"/>
          <w:jc w:val="center"/>
        </w:trPr>
        <w:tc>
          <w:tcPr>
            <w:tcW w:w="1266" w:type="dxa"/>
            <w:vMerge w:val="continue"/>
            <w:tcBorders>
              <w:top w:val="nil"/>
              <w:left w:val="single" w:color="auto" w:sz="4" w:space="0"/>
              <w:bottom w:val="single" w:color="000000" w:sz="4" w:space="0"/>
              <w:right w:val="single" w:color="auto" w:sz="4" w:space="0"/>
            </w:tcBorders>
            <w:noWrap/>
            <w:vAlign w:val="center"/>
          </w:tcPr>
          <w:p>
            <w:pPr>
              <w:widowControl/>
              <w:spacing w:line="200" w:lineRule="atLeast"/>
              <w:rPr>
                <w:rFonts w:ascii="宋体" w:hAnsi="宋体" w:cs="宋体"/>
                <w:kern w:val="0"/>
                <w:szCs w:val="21"/>
              </w:rPr>
            </w:pPr>
          </w:p>
        </w:tc>
        <w:tc>
          <w:tcPr>
            <w:tcW w:w="2293" w:type="dxa"/>
            <w:tcBorders>
              <w:top w:val="nil"/>
              <w:left w:val="nil"/>
              <w:bottom w:val="single" w:color="auto" w:sz="4" w:space="0"/>
              <w:right w:val="single" w:color="auto" w:sz="4" w:space="0"/>
            </w:tcBorders>
            <w:noWrap/>
            <w:vAlign w:val="center"/>
          </w:tcPr>
          <w:p>
            <w:pPr>
              <w:widowControl/>
              <w:spacing w:line="200" w:lineRule="atLeast"/>
              <w:rPr>
                <w:rFonts w:ascii="宋体" w:hAnsi="宋体" w:cs="宋体"/>
                <w:kern w:val="0"/>
                <w:szCs w:val="21"/>
              </w:rPr>
            </w:pPr>
            <w:r>
              <w:rPr>
                <w:rFonts w:hint="eastAsia" w:ascii="宋体" w:hAnsi="宋体" w:cs="宋体"/>
                <w:kern w:val="0"/>
                <w:szCs w:val="21"/>
              </w:rPr>
              <w:t>国</w:t>
            </w:r>
            <w:r>
              <w:rPr>
                <w:rFonts w:hint="eastAsia" w:ascii="宋体" w:hAnsi="宋体" w:cs="宋体"/>
                <w:kern w:val="0"/>
                <w:szCs w:val="21"/>
                <w:lang w:val="en-US" w:eastAsia="zh-CN"/>
              </w:rPr>
              <w:t>际贸易实务</w:t>
            </w:r>
          </w:p>
        </w:tc>
        <w:tc>
          <w:tcPr>
            <w:tcW w:w="388" w:type="dxa"/>
            <w:tcBorders>
              <w:top w:val="nil"/>
              <w:left w:val="nil"/>
              <w:bottom w:val="single" w:color="auto" w:sz="4" w:space="0"/>
              <w:right w:val="single" w:color="auto" w:sz="4" w:space="0"/>
            </w:tcBorders>
            <w:noWrap/>
            <w:vAlign w:val="center"/>
          </w:tcPr>
          <w:p>
            <w:pPr>
              <w:widowControl/>
              <w:spacing w:line="200" w:lineRule="atLeast"/>
              <w:rPr>
                <w:rFonts w:ascii="宋体" w:hAnsi="宋体" w:cs="宋体"/>
                <w:kern w:val="0"/>
                <w:szCs w:val="21"/>
              </w:rPr>
            </w:pPr>
            <w:r>
              <w:rPr>
                <w:rFonts w:hint="eastAsia" w:ascii="宋体" w:hAnsi="宋体" w:cs="宋体"/>
                <w:kern w:val="0"/>
                <w:szCs w:val="21"/>
              </w:rPr>
              <w:t>3</w:t>
            </w:r>
          </w:p>
        </w:tc>
        <w:tc>
          <w:tcPr>
            <w:tcW w:w="637" w:type="dxa"/>
            <w:tcBorders>
              <w:top w:val="nil"/>
              <w:left w:val="nil"/>
              <w:bottom w:val="single" w:color="auto" w:sz="4" w:space="0"/>
              <w:right w:val="single" w:color="auto" w:sz="4" w:space="0"/>
            </w:tcBorders>
            <w:noWrap/>
            <w:vAlign w:val="center"/>
          </w:tcPr>
          <w:p>
            <w:pPr>
              <w:widowControl/>
              <w:spacing w:line="200" w:lineRule="atLeast"/>
              <w:rPr>
                <w:rFonts w:ascii="宋体" w:hAnsi="宋体" w:cs="宋体"/>
                <w:kern w:val="0"/>
                <w:szCs w:val="21"/>
              </w:rPr>
            </w:pPr>
            <w:r>
              <w:rPr>
                <w:rFonts w:hint="eastAsia" w:ascii="宋体" w:hAnsi="宋体" w:cs="宋体"/>
                <w:kern w:val="0"/>
                <w:szCs w:val="21"/>
              </w:rPr>
              <w:t>专科</w:t>
            </w:r>
          </w:p>
        </w:tc>
        <w:tc>
          <w:tcPr>
            <w:tcW w:w="1063" w:type="dxa"/>
            <w:tcBorders>
              <w:top w:val="nil"/>
              <w:left w:val="nil"/>
              <w:bottom w:val="single" w:color="auto" w:sz="4" w:space="0"/>
              <w:right w:val="single" w:color="auto" w:sz="4" w:space="0"/>
            </w:tcBorders>
            <w:noWrap/>
            <w:vAlign w:val="center"/>
          </w:tcPr>
          <w:p>
            <w:pPr>
              <w:widowControl/>
              <w:spacing w:line="200" w:lineRule="atLeast"/>
              <w:rPr>
                <w:rFonts w:hint="eastAsia" w:ascii="宋体" w:hAnsi="宋体" w:eastAsia="宋体" w:cs="宋体"/>
                <w:kern w:val="0"/>
                <w:szCs w:val="21"/>
                <w:lang w:eastAsia="zh-CN"/>
              </w:rPr>
            </w:pPr>
            <w:r>
              <w:rPr>
                <w:rFonts w:hint="eastAsia" w:ascii="宋体" w:hAnsi="宋体" w:cs="宋体"/>
                <w:kern w:val="0"/>
                <w:szCs w:val="21"/>
              </w:rPr>
              <w:t>3</w:t>
            </w:r>
            <w:r>
              <w:rPr>
                <w:rFonts w:hint="eastAsia" w:ascii="宋体" w:hAnsi="宋体" w:cs="宋体"/>
                <w:kern w:val="0"/>
                <w:szCs w:val="21"/>
                <w:lang w:val="en-US" w:eastAsia="zh-CN"/>
              </w:rPr>
              <w:t>7</w:t>
            </w:r>
          </w:p>
        </w:tc>
        <w:tc>
          <w:tcPr>
            <w:tcW w:w="689" w:type="dxa"/>
            <w:vMerge w:val="continue"/>
            <w:tcBorders>
              <w:left w:val="nil"/>
              <w:right w:val="single" w:color="auto" w:sz="4" w:space="0"/>
            </w:tcBorders>
            <w:noWrap/>
            <w:vAlign w:val="center"/>
          </w:tcPr>
          <w:p>
            <w:pPr>
              <w:widowControl/>
              <w:spacing w:line="200" w:lineRule="atLeast"/>
              <w:rPr>
                <w:rFonts w:ascii="宋体" w:hAnsi="宋体" w:cs="宋体"/>
                <w:kern w:val="0"/>
                <w:szCs w:val="21"/>
              </w:rPr>
            </w:pPr>
          </w:p>
        </w:tc>
      </w:tr>
      <w:tr>
        <w:tblPrEx>
          <w:tblCellMar>
            <w:top w:w="0" w:type="dxa"/>
            <w:left w:w="108" w:type="dxa"/>
            <w:bottom w:w="0" w:type="dxa"/>
            <w:right w:w="108" w:type="dxa"/>
          </w:tblCellMar>
        </w:tblPrEx>
        <w:trPr>
          <w:trHeight w:val="250" w:hRule="atLeast"/>
          <w:jc w:val="center"/>
        </w:trPr>
        <w:tc>
          <w:tcPr>
            <w:tcW w:w="1266" w:type="dxa"/>
            <w:vMerge w:val="continue"/>
            <w:tcBorders>
              <w:top w:val="nil"/>
              <w:left w:val="single" w:color="auto" w:sz="4" w:space="0"/>
              <w:bottom w:val="single" w:color="000000" w:sz="4" w:space="0"/>
              <w:right w:val="single" w:color="auto" w:sz="4" w:space="0"/>
            </w:tcBorders>
            <w:noWrap/>
            <w:vAlign w:val="center"/>
          </w:tcPr>
          <w:p>
            <w:pPr>
              <w:widowControl/>
              <w:spacing w:line="200" w:lineRule="atLeast"/>
              <w:rPr>
                <w:rFonts w:ascii="宋体" w:hAnsi="宋体" w:cs="宋体"/>
                <w:kern w:val="0"/>
                <w:szCs w:val="21"/>
              </w:rPr>
            </w:pPr>
          </w:p>
        </w:tc>
        <w:tc>
          <w:tcPr>
            <w:tcW w:w="2293"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会计</w:t>
            </w:r>
          </w:p>
        </w:tc>
        <w:tc>
          <w:tcPr>
            <w:tcW w:w="388" w:type="dxa"/>
            <w:tcBorders>
              <w:top w:val="nil"/>
              <w:left w:val="nil"/>
              <w:bottom w:val="single" w:color="auto" w:sz="4" w:space="0"/>
              <w:right w:val="single" w:color="auto" w:sz="4" w:space="0"/>
            </w:tcBorders>
            <w:noWrap/>
            <w:vAlign w:val="center"/>
          </w:tcPr>
          <w:p>
            <w:pPr>
              <w:widowControl/>
              <w:spacing w:line="200" w:lineRule="atLeast"/>
              <w:rPr>
                <w:rFonts w:ascii="宋体" w:hAnsi="宋体" w:cs="宋体"/>
                <w:kern w:val="0"/>
                <w:szCs w:val="21"/>
              </w:rPr>
            </w:pPr>
            <w:r>
              <w:rPr>
                <w:rFonts w:hint="eastAsia" w:ascii="宋体" w:hAnsi="宋体" w:cs="宋体"/>
                <w:kern w:val="0"/>
                <w:szCs w:val="21"/>
              </w:rPr>
              <w:t>3</w:t>
            </w:r>
          </w:p>
        </w:tc>
        <w:tc>
          <w:tcPr>
            <w:tcW w:w="637" w:type="dxa"/>
            <w:tcBorders>
              <w:top w:val="nil"/>
              <w:left w:val="nil"/>
              <w:bottom w:val="single" w:color="auto" w:sz="4" w:space="0"/>
              <w:right w:val="single" w:color="auto" w:sz="4" w:space="0"/>
            </w:tcBorders>
            <w:noWrap/>
            <w:vAlign w:val="center"/>
          </w:tcPr>
          <w:p>
            <w:pPr>
              <w:widowControl/>
              <w:spacing w:line="200" w:lineRule="atLeast"/>
              <w:rPr>
                <w:rFonts w:ascii="宋体" w:hAnsi="宋体" w:cs="宋体"/>
                <w:kern w:val="0"/>
                <w:szCs w:val="21"/>
              </w:rPr>
            </w:pPr>
            <w:r>
              <w:rPr>
                <w:rFonts w:hint="eastAsia" w:ascii="宋体" w:hAnsi="宋体" w:cs="宋体"/>
                <w:kern w:val="0"/>
                <w:szCs w:val="21"/>
              </w:rPr>
              <w:t>专科</w:t>
            </w:r>
          </w:p>
        </w:tc>
        <w:tc>
          <w:tcPr>
            <w:tcW w:w="1063" w:type="dxa"/>
            <w:tcBorders>
              <w:top w:val="nil"/>
              <w:left w:val="nil"/>
              <w:bottom w:val="single" w:color="auto" w:sz="4" w:space="0"/>
              <w:right w:val="single" w:color="auto" w:sz="4" w:space="0"/>
            </w:tcBorders>
            <w:noWrap/>
            <w:vAlign w:val="center"/>
          </w:tcPr>
          <w:p>
            <w:pPr>
              <w:widowControl/>
              <w:spacing w:line="200" w:lineRule="atLeast"/>
              <w:rPr>
                <w:rFonts w:hint="default" w:ascii="宋体" w:hAnsi="宋体" w:eastAsia="宋体" w:cs="宋体"/>
                <w:kern w:val="0"/>
                <w:szCs w:val="21"/>
                <w:lang w:val="en-US" w:eastAsia="zh-CN"/>
              </w:rPr>
            </w:pPr>
            <w:r>
              <w:rPr>
                <w:rFonts w:hint="eastAsia" w:ascii="宋体" w:hAnsi="宋体" w:cs="宋体"/>
                <w:kern w:val="0"/>
                <w:szCs w:val="21"/>
                <w:lang w:val="en-US" w:eastAsia="zh-CN"/>
              </w:rPr>
              <w:t>33</w:t>
            </w:r>
          </w:p>
        </w:tc>
        <w:tc>
          <w:tcPr>
            <w:tcW w:w="689" w:type="dxa"/>
            <w:vMerge w:val="continue"/>
            <w:tcBorders>
              <w:left w:val="nil"/>
              <w:right w:val="single" w:color="auto" w:sz="4" w:space="0"/>
            </w:tcBorders>
            <w:noWrap/>
            <w:vAlign w:val="center"/>
          </w:tcPr>
          <w:p>
            <w:pPr>
              <w:widowControl/>
              <w:spacing w:line="200" w:lineRule="atLeast"/>
              <w:rPr>
                <w:rFonts w:ascii="宋体" w:hAnsi="宋体" w:cs="宋体"/>
                <w:kern w:val="0"/>
                <w:szCs w:val="21"/>
              </w:rPr>
            </w:pPr>
          </w:p>
        </w:tc>
      </w:tr>
      <w:tr>
        <w:tblPrEx>
          <w:tblCellMar>
            <w:top w:w="0" w:type="dxa"/>
            <w:left w:w="108" w:type="dxa"/>
            <w:bottom w:w="0" w:type="dxa"/>
            <w:right w:w="108" w:type="dxa"/>
          </w:tblCellMar>
        </w:tblPrEx>
        <w:trPr>
          <w:trHeight w:val="160" w:hRule="atLeast"/>
          <w:jc w:val="center"/>
        </w:trPr>
        <w:tc>
          <w:tcPr>
            <w:tcW w:w="1266" w:type="dxa"/>
            <w:vMerge w:val="continue"/>
            <w:tcBorders>
              <w:top w:val="nil"/>
              <w:left w:val="single" w:color="auto" w:sz="4" w:space="0"/>
              <w:bottom w:val="single" w:color="000000" w:sz="4" w:space="0"/>
              <w:right w:val="single" w:color="auto" w:sz="4" w:space="0"/>
            </w:tcBorders>
            <w:noWrap/>
            <w:vAlign w:val="center"/>
          </w:tcPr>
          <w:p>
            <w:pPr>
              <w:widowControl/>
              <w:spacing w:line="200" w:lineRule="atLeast"/>
              <w:rPr>
                <w:rFonts w:ascii="宋体" w:hAnsi="宋体" w:cs="宋体"/>
                <w:kern w:val="0"/>
                <w:szCs w:val="21"/>
              </w:rPr>
            </w:pPr>
          </w:p>
        </w:tc>
        <w:tc>
          <w:tcPr>
            <w:tcW w:w="2293"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会计</w:t>
            </w:r>
          </w:p>
        </w:tc>
        <w:tc>
          <w:tcPr>
            <w:tcW w:w="388" w:type="dxa"/>
            <w:tcBorders>
              <w:top w:val="nil"/>
              <w:left w:val="nil"/>
              <w:bottom w:val="single" w:color="auto" w:sz="4" w:space="0"/>
              <w:right w:val="single" w:color="auto" w:sz="4" w:space="0"/>
            </w:tcBorders>
            <w:noWrap/>
            <w:vAlign w:val="center"/>
          </w:tcPr>
          <w:p>
            <w:pPr>
              <w:widowControl/>
              <w:spacing w:line="200" w:lineRule="atLeast"/>
              <w:rPr>
                <w:rFonts w:ascii="宋体" w:hAnsi="宋体" w:cs="宋体"/>
                <w:kern w:val="0"/>
                <w:szCs w:val="21"/>
              </w:rPr>
            </w:pPr>
            <w:r>
              <w:rPr>
                <w:rFonts w:hint="eastAsia" w:ascii="宋体" w:hAnsi="宋体" w:cs="宋体"/>
                <w:kern w:val="0"/>
                <w:szCs w:val="21"/>
              </w:rPr>
              <w:t>2</w:t>
            </w:r>
          </w:p>
        </w:tc>
        <w:tc>
          <w:tcPr>
            <w:tcW w:w="637" w:type="dxa"/>
            <w:tcBorders>
              <w:top w:val="nil"/>
              <w:left w:val="nil"/>
              <w:bottom w:val="single" w:color="auto" w:sz="4" w:space="0"/>
              <w:right w:val="single" w:color="auto" w:sz="4" w:space="0"/>
            </w:tcBorders>
            <w:noWrap/>
            <w:vAlign w:val="center"/>
          </w:tcPr>
          <w:p>
            <w:pPr>
              <w:widowControl/>
              <w:spacing w:line="200" w:lineRule="atLeast"/>
              <w:rPr>
                <w:rFonts w:ascii="宋体" w:hAnsi="宋体" w:cs="宋体"/>
                <w:kern w:val="0"/>
                <w:szCs w:val="21"/>
              </w:rPr>
            </w:pPr>
            <w:r>
              <w:rPr>
                <w:rFonts w:hint="eastAsia" w:ascii="宋体" w:hAnsi="宋体" w:cs="宋体"/>
                <w:kern w:val="0"/>
                <w:szCs w:val="21"/>
              </w:rPr>
              <w:t>专科</w:t>
            </w:r>
          </w:p>
        </w:tc>
        <w:tc>
          <w:tcPr>
            <w:tcW w:w="1063" w:type="dxa"/>
            <w:tcBorders>
              <w:top w:val="nil"/>
              <w:left w:val="nil"/>
              <w:bottom w:val="single" w:color="auto" w:sz="4" w:space="0"/>
              <w:right w:val="single" w:color="auto" w:sz="4" w:space="0"/>
            </w:tcBorders>
            <w:noWrap/>
            <w:vAlign w:val="center"/>
          </w:tcPr>
          <w:p>
            <w:pPr>
              <w:widowControl/>
              <w:spacing w:line="200" w:lineRule="atLeast"/>
              <w:rPr>
                <w:rFonts w:hint="default" w:ascii="宋体" w:hAnsi="宋体" w:cs="宋体"/>
                <w:kern w:val="0"/>
                <w:szCs w:val="21"/>
                <w:lang w:val="en-US" w:eastAsia="zh-CN"/>
              </w:rPr>
            </w:pPr>
            <w:r>
              <w:rPr>
                <w:rFonts w:hint="eastAsia" w:ascii="宋体" w:hAnsi="宋体" w:cs="宋体"/>
                <w:kern w:val="0"/>
                <w:szCs w:val="21"/>
                <w:lang w:val="en-US" w:eastAsia="zh-CN"/>
              </w:rPr>
              <w:t>12</w:t>
            </w:r>
          </w:p>
        </w:tc>
        <w:tc>
          <w:tcPr>
            <w:tcW w:w="689" w:type="dxa"/>
            <w:vMerge w:val="continue"/>
            <w:tcBorders>
              <w:left w:val="nil"/>
              <w:bottom w:val="single" w:color="auto" w:sz="4" w:space="0"/>
              <w:right w:val="single" w:color="auto" w:sz="4" w:space="0"/>
            </w:tcBorders>
            <w:noWrap/>
            <w:vAlign w:val="center"/>
          </w:tcPr>
          <w:p>
            <w:pPr>
              <w:widowControl/>
              <w:spacing w:line="200" w:lineRule="atLeast"/>
              <w:rPr>
                <w:rFonts w:ascii="宋体" w:hAnsi="宋体" w:cs="宋体"/>
                <w:kern w:val="0"/>
                <w:szCs w:val="21"/>
              </w:rPr>
            </w:pPr>
          </w:p>
        </w:tc>
      </w:tr>
      <w:tr>
        <w:tblPrEx>
          <w:tblCellMar>
            <w:top w:w="0" w:type="dxa"/>
            <w:left w:w="108" w:type="dxa"/>
            <w:bottom w:w="0" w:type="dxa"/>
            <w:right w:w="108" w:type="dxa"/>
          </w:tblCellMar>
        </w:tblPrEx>
        <w:trPr>
          <w:trHeight w:val="90" w:hRule="atLeast"/>
          <w:jc w:val="center"/>
        </w:trPr>
        <w:tc>
          <w:tcPr>
            <w:tcW w:w="1266" w:type="dxa"/>
            <w:vMerge w:val="continue"/>
            <w:tcBorders>
              <w:left w:val="single" w:color="auto" w:sz="4" w:space="0"/>
              <w:bottom w:val="single" w:color="000000" w:sz="4" w:space="0"/>
              <w:right w:val="single" w:color="auto" w:sz="4" w:space="0"/>
            </w:tcBorders>
            <w:noWrap/>
            <w:vAlign w:val="center"/>
          </w:tcPr>
          <w:p>
            <w:pPr>
              <w:widowControl/>
              <w:spacing w:line="200" w:lineRule="atLeast"/>
              <w:rPr>
                <w:rFonts w:ascii="宋体" w:hAnsi="宋体" w:cs="宋体"/>
                <w:kern w:val="0"/>
                <w:szCs w:val="21"/>
              </w:rPr>
            </w:pPr>
          </w:p>
        </w:tc>
        <w:tc>
          <w:tcPr>
            <w:tcW w:w="2293"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商务英语</w:t>
            </w:r>
          </w:p>
        </w:tc>
        <w:tc>
          <w:tcPr>
            <w:tcW w:w="388" w:type="dxa"/>
            <w:tcBorders>
              <w:top w:val="single" w:color="auto" w:sz="4" w:space="0"/>
              <w:left w:val="nil"/>
              <w:bottom w:val="single" w:color="auto" w:sz="4" w:space="0"/>
              <w:right w:val="single" w:color="auto" w:sz="4" w:space="0"/>
            </w:tcBorders>
            <w:noWrap/>
            <w:vAlign w:val="center"/>
          </w:tcPr>
          <w:p>
            <w:pPr>
              <w:widowControl/>
              <w:spacing w:line="200" w:lineRule="atLeast"/>
              <w:rPr>
                <w:rFonts w:hint="default" w:ascii="宋体" w:hAnsi="宋体" w:eastAsia="宋体" w:cs="宋体"/>
                <w:kern w:val="0"/>
                <w:szCs w:val="21"/>
                <w:lang w:val="en-US" w:eastAsia="zh-CN"/>
              </w:rPr>
            </w:pPr>
            <w:r>
              <w:rPr>
                <w:rFonts w:hint="eastAsia" w:ascii="宋体" w:hAnsi="宋体" w:cs="宋体"/>
                <w:kern w:val="0"/>
                <w:szCs w:val="21"/>
                <w:lang w:val="en-US" w:eastAsia="zh-CN"/>
              </w:rPr>
              <w:t>5</w:t>
            </w:r>
          </w:p>
        </w:tc>
        <w:tc>
          <w:tcPr>
            <w:tcW w:w="637" w:type="dxa"/>
            <w:tcBorders>
              <w:top w:val="single" w:color="auto" w:sz="4" w:space="0"/>
              <w:left w:val="nil"/>
              <w:bottom w:val="single" w:color="auto" w:sz="4" w:space="0"/>
              <w:right w:val="single" w:color="auto" w:sz="4" w:space="0"/>
            </w:tcBorders>
            <w:noWrap/>
            <w:vAlign w:val="center"/>
          </w:tcPr>
          <w:p>
            <w:pPr>
              <w:widowControl/>
              <w:spacing w:line="200" w:lineRule="atLeast"/>
              <w:rPr>
                <w:rFonts w:hint="eastAsia" w:ascii="宋体" w:hAnsi="宋体" w:cs="宋体"/>
                <w:kern w:val="0"/>
                <w:szCs w:val="21"/>
              </w:rPr>
            </w:pPr>
            <w:r>
              <w:rPr>
                <w:rFonts w:hint="eastAsia" w:ascii="宋体" w:hAnsi="宋体" w:cs="宋体"/>
                <w:kern w:val="0"/>
                <w:szCs w:val="21"/>
              </w:rPr>
              <w:t>专科</w:t>
            </w:r>
          </w:p>
        </w:tc>
        <w:tc>
          <w:tcPr>
            <w:tcW w:w="1063" w:type="dxa"/>
            <w:tcBorders>
              <w:top w:val="single" w:color="auto" w:sz="4" w:space="0"/>
              <w:left w:val="nil"/>
              <w:bottom w:val="single" w:color="auto" w:sz="4" w:space="0"/>
              <w:right w:val="single" w:color="auto" w:sz="4" w:space="0"/>
            </w:tcBorders>
            <w:noWrap/>
            <w:vAlign w:val="center"/>
          </w:tcPr>
          <w:p>
            <w:pPr>
              <w:widowControl/>
              <w:spacing w:line="200" w:lineRule="atLeast"/>
              <w:rPr>
                <w:rFonts w:hint="default" w:ascii="宋体" w:hAnsi="宋体" w:cs="宋体"/>
                <w:kern w:val="0"/>
                <w:szCs w:val="21"/>
                <w:lang w:val="en-US" w:eastAsia="zh-CN"/>
              </w:rPr>
            </w:pPr>
            <w:r>
              <w:rPr>
                <w:rFonts w:hint="eastAsia" w:ascii="宋体" w:hAnsi="宋体" w:cs="宋体"/>
                <w:kern w:val="0"/>
                <w:szCs w:val="21"/>
                <w:lang w:val="en-US" w:eastAsia="zh-CN"/>
              </w:rPr>
              <w:t>53</w:t>
            </w:r>
          </w:p>
        </w:tc>
        <w:tc>
          <w:tcPr>
            <w:tcW w:w="689" w:type="dxa"/>
            <w:vMerge w:val="continue"/>
            <w:tcBorders>
              <w:left w:val="nil"/>
              <w:bottom w:val="single" w:color="auto" w:sz="4" w:space="0"/>
              <w:right w:val="single" w:color="auto" w:sz="4" w:space="0"/>
            </w:tcBorders>
            <w:noWrap/>
            <w:vAlign w:val="center"/>
          </w:tcPr>
          <w:p>
            <w:pPr>
              <w:widowControl/>
              <w:spacing w:line="200" w:lineRule="atLeast"/>
              <w:rPr>
                <w:rFonts w:ascii="宋体" w:hAnsi="宋体" w:cs="宋体"/>
                <w:kern w:val="0"/>
                <w:szCs w:val="21"/>
              </w:rPr>
            </w:pPr>
          </w:p>
        </w:tc>
      </w:tr>
      <w:tr>
        <w:tblPrEx>
          <w:tblCellMar>
            <w:top w:w="0" w:type="dxa"/>
            <w:left w:w="108" w:type="dxa"/>
            <w:bottom w:w="0" w:type="dxa"/>
            <w:right w:w="108" w:type="dxa"/>
          </w:tblCellMar>
        </w:tblPrEx>
        <w:trPr>
          <w:trHeight w:val="132" w:hRule="atLeast"/>
          <w:jc w:val="center"/>
        </w:trPr>
        <w:tc>
          <w:tcPr>
            <w:tcW w:w="1266" w:type="dxa"/>
            <w:vMerge w:val="continue"/>
            <w:tcBorders>
              <w:left w:val="single" w:color="auto" w:sz="4" w:space="0"/>
              <w:bottom w:val="single" w:color="000000" w:sz="4" w:space="0"/>
              <w:right w:val="single" w:color="auto" w:sz="4" w:space="0"/>
            </w:tcBorders>
            <w:noWrap/>
            <w:vAlign w:val="center"/>
          </w:tcPr>
          <w:p>
            <w:pPr>
              <w:widowControl/>
              <w:spacing w:line="200" w:lineRule="atLeast"/>
              <w:rPr>
                <w:rFonts w:ascii="宋体" w:hAnsi="宋体" w:cs="宋体"/>
                <w:kern w:val="0"/>
                <w:szCs w:val="21"/>
              </w:rPr>
            </w:pPr>
          </w:p>
        </w:tc>
        <w:tc>
          <w:tcPr>
            <w:tcW w:w="2293"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商务英语</w:t>
            </w:r>
          </w:p>
        </w:tc>
        <w:tc>
          <w:tcPr>
            <w:tcW w:w="388" w:type="dxa"/>
            <w:tcBorders>
              <w:top w:val="single" w:color="auto" w:sz="4" w:space="0"/>
              <w:left w:val="nil"/>
              <w:bottom w:val="single" w:color="auto" w:sz="4" w:space="0"/>
              <w:right w:val="single" w:color="auto" w:sz="4" w:space="0"/>
            </w:tcBorders>
            <w:noWrap/>
            <w:vAlign w:val="center"/>
          </w:tcPr>
          <w:p>
            <w:pPr>
              <w:widowControl/>
              <w:spacing w:line="200" w:lineRule="atLeast"/>
              <w:rPr>
                <w:rFonts w:hint="eastAsia" w:ascii="宋体" w:hAnsi="宋体" w:eastAsia="宋体" w:cs="宋体"/>
                <w:kern w:val="0"/>
                <w:szCs w:val="21"/>
                <w:lang w:val="en-US" w:eastAsia="zh-CN"/>
              </w:rPr>
            </w:pPr>
            <w:r>
              <w:rPr>
                <w:rFonts w:hint="eastAsia" w:ascii="宋体" w:hAnsi="宋体" w:cs="宋体"/>
                <w:kern w:val="0"/>
                <w:szCs w:val="21"/>
                <w:lang w:val="en-US" w:eastAsia="zh-CN"/>
              </w:rPr>
              <w:t>3</w:t>
            </w:r>
          </w:p>
        </w:tc>
        <w:tc>
          <w:tcPr>
            <w:tcW w:w="637" w:type="dxa"/>
            <w:tcBorders>
              <w:top w:val="single" w:color="auto" w:sz="4" w:space="0"/>
              <w:left w:val="nil"/>
              <w:bottom w:val="single" w:color="auto" w:sz="4" w:space="0"/>
              <w:right w:val="single" w:color="auto" w:sz="4" w:space="0"/>
            </w:tcBorders>
            <w:noWrap/>
            <w:vAlign w:val="center"/>
          </w:tcPr>
          <w:p>
            <w:pPr>
              <w:widowControl/>
              <w:spacing w:line="200" w:lineRule="atLeast"/>
              <w:rPr>
                <w:rFonts w:hint="eastAsia" w:ascii="宋体" w:hAnsi="宋体" w:cs="宋体"/>
                <w:kern w:val="0"/>
                <w:szCs w:val="21"/>
              </w:rPr>
            </w:pPr>
            <w:r>
              <w:rPr>
                <w:rFonts w:hint="eastAsia" w:ascii="宋体" w:hAnsi="宋体" w:cs="宋体"/>
                <w:kern w:val="0"/>
                <w:szCs w:val="21"/>
              </w:rPr>
              <w:t>专科</w:t>
            </w:r>
          </w:p>
        </w:tc>
        <w:tc>
          <w:tcPr>
            <w:tcW w:w="1063" w:type="dxa"/>
            <w:tcBorders>
              <w:top w:val="single" w:color="auto" w:sz="4" w:space="0"/>
              <w:left w:val="nil"/>
              <w:bottom w:val="single" w:color="auto" w:sz="4" w:space="0"/>
              <w:right w:val="single" w:color="auto" w:sz="4" w:space="0"/>
            </w:tcBorders>
            <w:noWrap/>
            <w:vAlign w:val="center"/>
          </w:tcPr>
          <w:p>
            <w:pPr>
              <w:widowControl/>
              <w:spacing w:line="200" w:lineRule="atLeast"/>
              <w:rPr>
                <w:rFonts w:hint="default" w:ascii="宋体" w:hAnsi="宋体" w:cs="宋体"/>
                <w:kern w:val="0"/>
                <w:szCs w:val="21"/>
                <w:lang w:val="en-US" w:eastAsia="zh-CN"/>
              </w:rPr>
            </w:pPr>
            <w:r>
              <w:rPr>
                <w:rFonts w:hint="eastAsia" w:ascii="宋体" w:hAnsi="宋体" w:cs="宋体"/>
                <w:kern w:val="0"/>
                <w:szCs w:val="21"/>
                <w:lang w:val="en-US" w:eastAsia="zh-CN"/>
              </w:rPr>
              <w:t>188</w:t>
            </w:r>
          </w:p>
        </w:tc>
        <w:tc>
          <w:tcPr>
            <w:tcW w:w="689" w:type="dxa"/>
            <w:vMerge w:val="continue"/>
            <w:tcBorders>
              <w:left w:val="nil"/>
              <w:bottom w:val="single" w:color="auto" w:sz="4" w:space="0"/>
              <w:right w:val="single" w:color="auto" w:sz="4" w:space="0"/>
            </w:tcBorders>
            <w:noWrap/>
            <w:vAlign w:val="center"/>
          </w:tcPr>
          <w:p>
            <w:pPr>
              <w:widowControl/>
              <w:spacing w:line="200" w:lineRule="atLeast"/>
              <w:rPr>
                <w:rFonts w:ascii="宋体" w:hAnsi="宋体" w:cs="宋体"/>
                <w:kern w:val="0"/>
                <w:szCs w:val="21"/>
              </w:rPr>
            </w:pPr>
          </w:p>
        </w:tc>
      </w:tr>
      <w:tr>
        <w:tblPrEx>
          <w:tblCellMar>
            <w:top w:w="0" w:type="dxa"/>
            <w:left w:w="108" w:type="dxa"/>
            <w:bottom w:w="0" w:type="dxa"/>
            <w:right w:w="108" w:type="dxa"/>
          </w:tblCellMar>
        </w:tblPrEx>
        <w:trPr>
          <w:trHeight w:val="187" w:hRule="atLeast"/>
          <w:jc w:val="center"/>
        </w:trPr>
        <w:tc>
          <w:tcPr>
            <w:tcW w:w="1266" w:type="dxa"/>
            <w:vMerge w:val="continue"/>
            <w:tcBorders>
              <w:left w:val="single" w:color="auto" w:sz="4" w:space="0"/>
              <w:bottom w:val="single" w:color="000000" w:sz="4" w:space="0"/>
              <w:right w:val="single" w:color="auto" w:sz="4" w:space="0"/>
            </w:tcBorders>
            <w:noWrap/>
            <w:vAlign w:val="center"/>
          </w:tcPr>
          <w:p>
            <w:pPr>
              <w:widowControl/>
              <w:spacing w:line="200" w:lineRule="atLeast"/>
              <w:rPr>
                <w:rFonts w:ascii="宋体" w:hAnsi="宋体" w:cs="宋体"/>
                <w:kern w:val="0"/>
                <w:szCs w:val="21"/>
              </w:rPr>
            </w:pPr>
          </w:p>
        </w:tc>
        <w:tc>
          <w:tcPr>
            <w:tcW w:w="2293"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物流管理</w:t>
            </w:r>
          </w:p>
        </w:tc>
        <w:tc>
          <w:tcPr>
            <w:tcW w:w="388" w:type="dxa"/>
            <w:tcBorders>
              <w:top w:val="single" w:color="auto" w:sz="4" w:space="0"/>
              <w:left w:val="nil"/>
              <w:bottom w:val="single" w:color="auto" w:sz="4" w:space="0"/>
              <w:right w:val="single" w:color="auto" w:sz="4" w:space="0"/>
            </w:tcBorders>
            <w:noWrap/>
            <w:vAlign w:val="center"/>
          </w:tcPr>
          <w:p>
            <w:pPr>
              <w:widowControl/>
              <w:spacing w:line="200" w:lineRule="atLeast"/>
              <w:rPr>
                <w:rFonts w:hint="eastAsia" w:ascii="宋体" w:hAnsi="宋体" w:eastAsia="宋体" w:cs="宋体"/>
                <w:kern w:val="0"/>
                <w:szCs w:val="21"/>
                <w:lang w:val="en-US" w:eastAsia="zh-CN"/>
              </w:rPr>
            </w:pPr>
            <w:r>
              <w:rPr>
                <w:rFonts w:hint="eastAsia" w:ascii="宋体" w:hAnsi="宋体" w:cs="宋体"/>
                <w:kern w:val="0"/>
                <w:szCs w:val="21"/>
                <w:lang w:val="en-US" w:eastAsia="zh-CN"/>
              </w:rPr>
              <w:t>2</w:t>
            </w:r>
          </w:p>
        </w:tc>
        <w:tc>
          <w:tcPr>
            <w:tcW w:w="637" w:type="dxa"/>
            <w:tcBorders>
              <w:top w:val="single" w:color="auto" w:sz="4" w:space="0"/>
              <w:left w:val="nil"/>
              <w:bottom w:val="single" w:color="auto" w:sz="4" w:space="0"/>
              <w:right w:val="single" w:color="auto" w:sz="4" w:space="0"/>
            </w:tcBorders>
            <w:noWrap/>
            <w:vAlign w:val="center"/>
          </w:tcPr>
          <w:p>
            <w:pPr>
              <w:widowControl/>
              <w:spacing w:line="200" w:lineRule="atLeast"/>
              <w:rPr>
                <w:rFonts w:hint="eastAsia" w:ascii="宋体" w:hAnsi="宋体" w:cs="宋体"/>
                <w:kern w:val="0"/>
                <w:szCs w:val="21"/>
              </w:rPr>
            </w:pPr>
            <w:r>
              <w:rPr>
                <w:rFonts w:hint="eastAsia" w:ascii="宋体" w:hAnsi="宋体" w:cs="宋体"/>
                <w:kern w:val="0"/>
                <w:szCs w:val="21"/>
              </w:rPr>
              <w:t>专科</w:t>
            </w:r>
          </w:p>
        </w:tc>
        <w:tc>
          <w:tcPr>
            <w:tcW w:w="1063" w:type="dxa"/>
            <w:tcBorders>
              <w:top w:val="single" w:color="auto" w:sz="4" w:space="0"/>
              <w:left w:val="nil"/>
              <w:bottom w:val="single" w:color="auto" w:sz="4" w:space="0"/>
              <w:right w:val="single" w:color="auto" w:sz="4" w:space="0"/>
            </w:tcBorders>
            <w:noWrap/>
            <w:vAlign w:val="center"/>
          </w:tcPr>
          <w:p>
            <w:pPr>
              <w:widowControl/>
              <w:spacing w:line="200" w:lineRule="atLeast"/>
              <w:rPr>
                <w:rFonts w:hint="default" w:ascii="宋体" w:hAnsi="宋体" w:cs="宋体"/>
                <w:kern w:val="0"/>
                <w:szCs w:val="21"/>
                <w:lang w:val="en-US" w:eastAsia="zh-CN"/>
              </w:rPr>
            </w:pPr>
            <w:r>
              <w:rPr>
                <w:rFonts w:hint="eastAsia" w:ascii="宋体" w:hAnsi="宋体" w:cs="宋体"/>
                <w:kern w:val="0"/>
                <w:szCs w:val="21"/>
                <w:lang w:val="en-US" w:eastAsia="zh-CN"/>
              </w:rPr>
              <w:t>20</w:t>
            </w:r>
          </w:p>
        </w:tc>
        <w:tc>
          <w:tcPr>
            <w:tcW w:w="689" w:type="dxa"/>
            <w:vMerge w:val="continue"/>
            <w:tcBorders>
              <w:left w:val="nil"/>
              <w:bottom w:val="single" w:color="auto" w:sz="4" w:space="0"/>
              <w:right w:val="single" w:color="auto" w:sz="4" w:space="0"/>
            </w:tcBorders>
            <w:noWrap/>
            <w:vAlign w:val="center"/>
          </w:tcPr>
          <w:p>
            <w:pPr>
              <w:widowControl/>
              <w:spacing w:line="200" w:lineRule="atLeast"/>
              <w:rPr>
                <w:rFonts w:ascii="宋体" w:hAnsi="宋体" w:cs="宋体"/>
                <w:kern w:val="0"/>
                <w:szCs w:val="21"/>
              </w:rPr>
            </w:pPr>
          </w:p>
        </w:tc>
      </w:tr>
      <w:tr>
        <w:tblPrEx>
          <w:tblCellMar>
            <w:top w:w="0" w:type="dxa"/>
            <w:left w:w="108" w:type="dxa"/>
            <w:bottom w:w="0" w:type="dxa"/>
            <w:right w:w="108" w:type="dxa"/>
          </w:tblCellMar>
        </w:tblPrEx>
        <w:trPr>
          <w:trHeight w:val="300" w:hRule="atLeast"/>
          <w:jc w:val="center"/>
        </w:trPr>
        <w:tc>
          <w:tcPr>
            <w:tcW w:w="1266" w:type="dxa"/>
            <w:vMerge w:val="restart"/>
            <w:tcBorders>
              <w:top w:val="nil"/>
              <w:left w:val="single" w:color="auto" w:sz="4" w:space="0"/>
              <w:right w:val="single" w:color="auto" w:sz="4" w:space="0"/>
            </w:tcBorders>
            <w:noWrap/>
            <w:vAlign w:val="center"/>
          </w:tcPr>
          <w:p>
            <w:pPr>
              <w:widowControl/>
              <w:spacing w:line="200" w:lineRule="atLeast"/>
              <w:rPr>
                <w:rFonts w:ascii="宋体" w:hAnsi="宋体" w:cs="宋体"/>
                <w:kern w:val="0"/>
                <w:szCs w:val="21"/>
              </w:rPr>
            </w:pPr>
            <w:r>
              <w:rPr>
                <w:rFonts w:hint="eastAsia" w:ascii="宋体" w:hAnsi="宋体" w:cs="宋体"/>
                <w:kern w:val="0"/>
                <w:szCs w:val="21"/>
              </w:rPr>
              <w:t>东语系</w:t>
            </w:r>
          </w:p>
        </w:tc>
        <w:tc>
          <w:tcPr>
            <w:tcW w:w="2293"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cs="宋体"/>
                <w:kern w:val="0"/>
                <w:szCs w:val="21"/>
              </w:rPr>
            </w:pPr>
            <w:r>
              <w:rPr>
                <w:rFonts w:hint="eastAsia" w:ascii="宋体" w:hAnsi="宋体" w:eastAsia="宋体" w:cs="宋体"/>
                <w:i w:val="0"/>
                <w:color w:val="000000"/>
                <w:kern w:val="0"/>
                <w:sz w:val="22"/>
                <w:szCs w:val="22"/>
                <w:u w:val="none"/>
                <w:lang w:val="en-US" w:eastAsia="zh-CN" w:bidi="ar"/>
              </w:rPr>
              <w:t>商务日语</w:t>
            </w:r>
          </w:p>
        </w:tc>
        <w:tc>
          <w:tcPr>
            <w:tcW w:w="388" w:type="dxa"/>
            <w:tcBorders>
              <w:top w:val="nil"/>
              <w:left w:val="nil"/>
              <w:bottom w:val="single" w:color="auto" w:sz="4" w:space="0"/>
              <w:right w:val="single" w:color="auto" w:sz="4" w:space="0"/>
            </w:tcBorders>
            <w:noWrap/>
            <w:vAlign w:val="center"/>
          </w:tcPr>
          <w:p>
            <w:pPr>
              <w:widowControl/>
              <w:spacing w:line="200" w:lineRule="atLeast"/>
              <w:rPr>
                <w:rFonts w:ascii="宋体" w:hAnsi="宋体" w:cs="宋体"/>
                <w:kern w:val="0"/>
                <w:szCs w:val="21"/>
              </w:rPr>
            </w:pPr>
            <w:r>
              <w:rPr>
                <w:rFonts w:hint="eastAsia" w:ascii="宋体" w:hAnsi="宋体" w:cs="宋体"/>
                <w:kern w:val="0"/>
                <w:szCs w:val="21"/>
              </w:rPr>
              <w:t>3</w:t>
            </w:r>
          </w:p>
        </w:tc>
        <w:tc>
          <w:tcPr>
            <w:tcW w:w="637" w:type="dxa"/>
            <w:tcBorders>
              <w:top w:val="nil"/>
              <w:left w:val="nil"/>
              <w:bottom w:val="single" w:color="auto" w:sz="4" w:space="0"/>
              <w:right w:val="single" w:color="auto" w:sz="4" w:space="0"/>
            </w:tcBorders>
            <w:noWrap/>
            <w:vAlign w:val="center"/>
          </w:tcPr>
          <w:p>
            <w:pPr>
              <w:widowControl/>
              <w:spacing w:line="200" w:lineRule="atLeast"/>
              <w:rPr>
                <w:rFonts w:ascii="宋体" w:hAnsi="宋体" w:cs="宋体"/>
                <w:kern w:val="0"/>
                <w:szCs w:val="21"/>
              </w:rPr>
            </w:pPr>
            <w:r>
              <w:rPr>
                <w:rFonts w:hint="eastAsia" w:ascii="宋体" w:hAnsi="宋体" w:cs="宋体"/>
                <w:kern w:val="0"/>
                <w:szCs w:val="21"/>
              </w:rPr>
              <w:t>专科</w:t>
            </w:r>
          </w:p>
        </w:tc>
        <w:tc>
          <w:tcPr>
            <w:tcW w:w="1063" w:type="dxa"/>
            <w:tcBorders>
              <w:top w:val="nil"/>
              <w:left w:val="nil"/>
              <w:bottom w:val="single" w:color="auto" w:sz="4" w:space="0"/>
              <w:right w:val="single" w:color="auto" w:sz="4" w:space="0"/>
            </w:tcBorders>
            <w:noWrap/>
            <w:vAlign w:val="center"/>
          </w:tcPr>
          <w:p>
            <w:pPr>
              <w:widowControl/>
              <w:spacing w:line="200" w:lineRule="atLeast"/>
              <w:rPr>
                <w:rFonts w:hint="default" w:ascii="宋体" w:hAnsi="宋体" w:eastAsia="宋体" w:cs="宋体"/>
                <w:kern w:val="0"/>
                <w:szCs w:val="21"/>
                <w:lang w:val="en-US" w:eastAsia="zh-CN"/>
              </w:rPr>
            </w:pPr>
            <w:r>
              <w:rPr>
                <w:rFonts w:hint="eastAsia" w:ascii="宋体" w:hAnsi="宋体" w:cs="宋体"/>
                <w:kern w:val="0"/>
                <w:szCs w:val="21"/>
                <w:lang w:val="en-US" w:eastAsia="zh-CN"/>
              </w:rPr>
              <w:t>35</w:t>
            </w:r>
          </w:p>
        </w:tc>
        <w:tc>
          <w:tcPr>
            <w:tcW w:w="689" w:type="dxa"/>
            <w:vMerge w:val="restart"/>
            <w:tcBorders>
              <w:top w:val="single" w:color="auto" w:sz="4" w:space="0"/>
              <w:left w:val="nil"/>
              <w:bottom w:val="single" w:color="auto" w:sz="4" w:space="0"/>
              <w:right w:val="single" w:color="auto" w:sz="4" w:space="0"/>
            </w:tcBorders>
            <w:noWrap/>
            <w:vAlign w:val="center"/>
          </w:tcPr>
          <w:p>
            <w:pPr>
              <w:widowControl/>
              <w:spacing w:line="200" w:lineRule="atLeast"/>
              <w:rPr>
                <w:rFonts w:hint="default" w:ascii="宋体" w:hAnsi="宋体" w:eastAsia="宋体" w:cs="宋体"/>
                <w:kern w:val="0"/>
                <w:szCs w:val="21"/>
                <w:lang w:val="en-US" w:eastAsia="zh-CN"/>
              </w:rPr>
            </w:pPr>
            <w:r>
              <w:rPr>
                <w:rFonts w:hint="eastAsia" w:ascii="宋体" w:hAnsi="宋体" w:cs="宋体"/>
                <w:kern w:val="0"/>
                <w:szCs w:val="21"/>
                <w:lang w:val="en-US" w:eastAsia="zh-CN"/>
              </w:rPr>
              <w:t>149</w:t>
            </w:r>
          </w:p>
        </w:tc>
      </w:tr>
      <w:tr>
        <w:tblPrEx>
          <w:tblCellMar>
            <w:top w:w="0" w:type="dxa"/>
            <w:left w:w="108" w:type="dxa"/>
            <w:bottom w:w="0" w:type="dxa"/>
            <w:right w:w="108" w:type="dxa"/>
          </w:tblCellMar>
        </w:tblPrEx>
        <w:trPr>
          <w:trHeight w:val="300" w:hRule="atLeast"/>
          <w:jc w:val="center"/>
        </w:trPr>
        <w:tc>
          <w:tcPr>
            <w:tcW w:w="1266" w:type="dxa"/>
            <w:vMerge w:val="continue"/>
            <w:tcBorders>
              <w:left w:val="single" w:color="auto" w:sz="4" w:space="0"/>
              <w:bottom w:val="single" w:color="auto" w:sz="4" w:space="0"/>
              <w:right w:val="single" w:color="auto" w:sz="4" w:space="0"/>
            </w:tcBorders>
            <w:noWrap/>
            <w:vAlign w:val="center"/>
          </w:tcPr>
          <w:p>
            <w:pPr>
              <w:widowControl/>
              <w:spacing w:line="200" w:lineRule="atLeast"/>
              <w:rPr>
                <w:rFonts w:ascii="宋体" w:hAnsi="宋体" w:cs="宋体"/>
                <w:kern w:val="0"/>
                <w:szCs w:val="21"/>
              </w:rPr>
            </w:pPr>
          </w:p>
        </w:tc>
        <w:tc>
          <w:tcPr>
            <w:tcW w:w="2293"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cs="宋体"/>
                <w:kern w:val="0"/>
                <w:szCs w:val="21"/>
              </w:rPr>
            </w:pPr>
            <w:r>
              <w:rPr>
                <w:rFonts w:hint="eastAsia" w:ascii="宋体" w:hAnsi="宋体" w:eastAsia="宋体" w:cs="宋体"/>
                <w:i w:val="0"/>
                <w:color w:val="000000"/>
                <w:kern w:val="0"/>
                <w:sz w:val="22"/>
                <w:szCs w:val="22"/>
                <w:u w:val="none"/>
                <w:lang w:val="en-US" w:eastAsia="zh-CN" w:bidi="ar"/>
              </w:rPr>
              <w:t>应用阿拉伯语</w:t>
            </w:r>
          </w:p>
        </w:tc>
        <w:tc>
          <w:tcPr>
            <w:tcW w:w="388" w:type="dxa"/>
            <w:tcBorders>
              <w:top w:val="nil"/>
              <w:left w:val="nil"/>
              <w:bottom w:val="single" w:color="auto" w:sz="4" w:space="0"/>
              <w:right w:val="single" w:color="auto" w:sz="4" w:space="0"/>
            </w:tcBorders>
            <w:noWrap/>
            <w:vAlign w:val="center"/>
          </w:tcPr>
          <w:p>
            <w:pPr>
              <w:widowControl/>
              <w:spacing w:line="200" w:lineRule="atLeast"/>
              <w:rPr>
                <w:rFonts w:ascii="宋体" w:hAnsi="宋体" w:cs="宋体"/>
                <w:kern w:val="0"/>
                <w:szCs w:val="21"/>
              </w:rPr>
            </w:pPr>
            <w:r>
              <w:rPr>
                <w:rFonts w:hint="eastAsia" w:ascii="宋体" w:hAnsi="宋体" w:cs="宋体"/>
                <w:kern w:val="0"/>
                <w:szCs w:val="21"/>
              </w:rPr>
              <w:t>3</w:t>
            </w:r>
          </w:p>
        </w:tc>
        <w:tc>
          <w:tcPr>
            <w:tcW w:w="637" w:type="dxa"/>
            <w:tcBorders>
              <w:top w:val="nil"/>
              <w:left w:val="nil"/>
              <w:bottom w:val="single" w:color="auto" w:sz="4" w:space="0"/>
              <w:right w:val="single" w:color="auto" w:sz="4" w:space="0"/>
            </w:tcBorders>
            <w:noWrap/>
            <w:vAlign w:val="center"/>
          </w:tcPr>
          <w:p>
            <w:pPr>
              <w:widowControl/>
              <w:spacing w:line="200" w:lineRule="atLeast"/>
              <w:rPr>
                <w:rFonts w:ascii="宋体" w:hAnsi="宋体" w:cs="宋体"/>
                <w:kern w:val="0"/>
                <w:szCs w:val="21"/>
              </w:rPr>
            </w:pPr>
            <w:r>
              <w:rPr>
                <w:rFonts w:hint="eastAsia" w:ascii="宋体" w:hAnsi="宋体" w:cs="宋体"/>
                <w:kern w:val="0"/>
                <w:szCs w:val="21"/>
              </w:rPr>
              <w:t>专科</w:t>
            </w:r>
          </w:p>
        </w:tc>
        <w:tc>
          <w:tcPr>
            <w:tcW w:w="1063" w:type="dxa"/>
            <w:tcBorders>
              <w:top w:val="nil"/>
              <w:left w:val="nil"/>
              <w:bottom w:val="single" w:color="auto" w:sz="4" w:space="0"/>
              <w:right w:val="single" w:color="auto" w:sz="4" w:space="0"/>
            </w:tcBorders>
            <w:noWrap/>
            <w:vAlign w:val="center"/>
          </w:tcPr>
          <w:p>
            <w:pPr>
              <w:widowControl/>
              <w:spacing w:line="200" w:lineRule="atLeast"/>
              <w:rPr>
                <w:rFonts w:ascii="宋体" w:hAnsi="宋体" w:cs="宋体"/>
                <w:kern w:val="0"/>
                <w:szCs w:val="21"/>
              </w:rPr>
            </w:pPr>
            <w:r>
              <w:rPr>
                <w:rFonts w:hint="eastAsia" w:ascii="宋体" w:hAnsi="宋体" w:cs="宋体"/>
                <w:kern w:val="0"/>
                <w:szCs w:val="21"/>
              </w:rPr>
              <w:t>3</w:t>
            </w:r>
          </w:p>
        </w:tc>
        <w:tc>
          <w:tcPr>
            <w:tcW w:w="689" w:type="dxa"/>
            <w:vMerge w:val="continue"/>
            <w:tcBorders>
              <w:top w:val="single" w:color="auto" w:sz="4" w:space="0"/>
              <w:left w:val="nil"/>
              <w:bottom w:val="single" w:color="auto" w:sz="4" w:space="0"/>
              <w:right w:val="single" w:color="auto" w:sz="4" w:space="0"/>
            </w:tcBorders>
            <w:noWrap/>
            <w:vAlign w:val="center"/>
          </w:tcPr>
          <w:p>
            <w:pPr>
              <w:widowControl/>
              <w:spacing w:line="200" w:lineRule="atLeast"/>
              <w:rPr>
                <w:rFonts w:ascii="宋体" w:hAnsi="宋体" w:cs="宋体"/>
                <w:kern w:val="0"/>
                <w:szCs w:val="21"/>
              </w:rPr>
            </w:pPr>
          </w:p>
        </w:tc>
      </w:tr>
      <w:tr>
        <w:tblPrEx>
          <w:tblCellMar>
            <w:top w:w="0" w:type="dxa"/>
            <w:left w:w="108" w:type="dxa"/>
            <w:bottom w:w="0" w:type="dxa"/>
            <w:right w:w="108" w:type="dxa"/>
          </w:tblCellMar>
        </w:tblPrEx>
        <w:trPr>
          <w:trHeight w:val="184" w:hRule="atLeast"/>
          <w:jc w:val="center"/>
        </w:trPr>
        <w:tc>
          <w:tcPr>
            <w:tcW w:w="1266" w:type="dxa"/>
            <w:vMerge w:val="continue"/>
            <w:tcBorders>
              <w:top w:val="single" w:color="auto" w:sz="4" w:space="0"/>
              <w:left w:val="single" w:color="auto" w:sz="4" w:space="0"/>
              <w:right w:val="single" w:color="auto" w:sz="4" w:space="0"/>
            </w:tcBorders>
            <w:shd w:val="clear" w:color="auto" w:fill="auto"/>
            <w:noWrap/>
            <w:vAlign w:val="center"/>
          </w:tcPr>
          <w:p>
            <w:pPr>
              <w:widowControl/>
              <w:spacing w:line="200" w:lineRule="atLeast"/>
              <w:rPr>
                <w:rFonts w:ascii="宋体" w:hAnsi="宋体" w:cs="宋体"/>
                <w:kern w:val="0"/>
                <w:szCs w:val="21"/>
              </w:rPr>
            </w:pPr>
          </w:p>
        </w:tc>
        <w:tc>
          <w:tcPr>
            <w:tcW w:w="2293" w:type="dxa"/>
            <w:tcBorders>
              <w:top w:val="single" w:color="auto" w:sz="4" w:space="0"/>
              <w:left w:val="nil"/>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ascii="宋体" w:hAnsi="宋体" w:cs="宋体"/>
                <w:kern w:val="0"/>
                <w:szCs w:val="21"/>
              </w:rPr>
            </w:pPr>
            <w:r>
              <w:rPr>
                <w:rFonts w:hint="eastAsia" w:ascii="宋体" w:hAnsi="宋体" w:eastAsia="宋体" w:cs="宋体"/>
                <w:i w:val="0"/>
                <w:color w:val="000000"/>
                <w:kern w:val="0"/>
                <w:sz w:val="22"/>
                <w:szCs w:val="22"/>
                <w:u w:val="none"/>
                <w:lang w:val="en-US" w:eastAsia="zh-CN" w:bidi="ar"/>
              </w:rPr>
              <w:t>应用韩语</w:t>
            </w:r>
          </w:p>
        </w:tc>
        <w:tc>
          <w:tcPr>
            <w:tcW w:w="388" w:type="dxa"/>
            <w:tcBorders>
              <w:top w:val="single" w:color="auto" w:sz="4" w:space="0"/>
              <w:left w:val="nil"/>
              <w:bottom w:val="single" w:color="auto" w:sz="4" w:space="0"/>
              <w:right w:val="single" w:color="auto" w:sz="4" w:space="0"/>
            </w:tcBorders>
            <w:noWrap/>
            <w:vAlign w:val="center"/>
          </w:tcPr>
          <w:p>
            <w:pPr>
              <w:widowControl/>
              <w:spacing w:line="200" w:lineRule="atLeast"/>
              <w:rPr>
                <w:rFonts w:ascii="宋体" w:hAnsi="宋体" w:cs="宋体"/>
                <w:kern w:val="0"/>
                <w:szCs w:val="21"/>
              </w:rPr>
            </w:pPr>
            <w:r>
              <w:rPr>
                <w:rFonts w:hint="eastAsia" w:ascii="宋体" w:hAnsi="宋体" w:cs="宋体"/>
                <w:kern w:val="0"/>
                <w:szCs w:val="21"/>
              </w:rPr>
              <w:t>3</w:t>
            </w:r>
          </w:p>
        </w:tc>
        <w:tc>
          <w:tcPr>
            <w:tcW w:w="637" w:type="dxa"/>
            <w:tcBorders>
              <w:top w:val="single" w:color="auto" w:sz="4" w:space="0"/>
              <w:left w:val="nil"/>
              <w:bottom w:val="single" w:color="auto" w:sz="4" w:space="0"/>
              <w:right w:val="single" w:color="auto" w:sz="4" w:space="0"/>
            </w:tcBorders>
            <w:noWrap/>
            <w:vAlign w:val="center"/>
          </w:tcPr>
          <w:p>
            <w:pPr>
              <w:widowControl/>
              <w:spacing w:line="200" w:lineRule="atLeast"/>
              <w:rPr>
                <w:rFonts w:ascii="宋体" w:hAnsi="宋体" w:cs="宋体"/>
                <w:kern w:val="0"/>
                <w:szCs w:val="21"/>
              </w:rPr>
            </w:pPr>
            <w:r>
              <w:rPr>
                <w:rFonts w:hint="eastAsia" w:ascii="宋体" w:hAnsi="宋体" w:cs="宋体"/>
                <w:kern w:val="0"/>
                <w:szCs w:val="21"/>
              </w:rPr>
              <w:t>专科</w:t>
            </w:r>
          </w:p>
        </w:tc>
        <w:tc>
          <w:tcPr>
            <w:tcW w:w="1063" w:type="dxa"/>
            <w:tcBorders>
              <w:top w:val="single" w:color="auto" w:sz="4" w:space="0"/>
              <w:left w:val="nil"/>
              <w:bottom w:val="single" w:color="auto" w:sz="4" w:space="0"/>
              <w:right w:val="single" w:color="auto" w:sz="4" w:space="0"/>
            </w:tcBorders>
            <w:noWrap/>
            <w:vAlign w:val="center"/>
          </w:tcPr>
          <w:p>
            <w:pPr>
              <w:widowControl/>
              <w:spacing w:line="200" w:lineRule="atLeast"/>
              <w:rPr>
                <w:rFonts w:hint="default" w:ascii="宋体" w:hAnsi="宋体" w:eastAsia="宋体" w:cs="宋体"/>
                <w:kern w:val="0"/>
                <w:szCs w:val="21"/>
                <w:lang w:val="en-US" w:eastAsia="zh-CN"/>
              </w:rPr>
            </w:pPr>
            <w:r>
              <w:rPr>
                <w:rFonts w:hint="eastAsia" w:ascii="宋体" w:hAnsi="宋体" w:cs="宋体"/>
                <w:kern w:val="0"/>
                <w:szCs w:val="21"/>
                <w:lang w:val="en-US" w:eastAsia="zh-CN"/>
              </w:rPr>
              <w:t>47</w:t>
            </w:r>
          </w:p>
        </w:tc>
        <w:tc>
          <w:tcPr>
            <w:tcW w:w="689" w:type="dxa"/>
            <w:vMerge w:val="continue"/>
            <w:tcBorders>
              <w:top w:val="single" w:color="auto" w:sz="4" w:space="0"/>
              <w:left w:val="nil"/>
              <w:bottom w:val="single" w:color="auto" w:sz="4" w:space="0"/>
              <w:right w:val="single" w:color="auto" w:sz="4" w:space="0"/>
            </w:tcBorders>
            <w:noWrap/>
            <w:vAlign w:val="center"/>
          </w:tcPr>
          <w:p>
            <w:pPr>
              <w:widowControl/>
              <w:spacing w:line="200" w:lineRule="atLeast"/>
              <w:rPr>
                <w:rFonts w:ascii="宋体" w:hAnsi="宋体" w:cs="宋体"/>
                <w:kern w:val="0"/>
                <w:szCs w:val="21"/>
              </w:rPr>
            </w:pPr>
          </w:p>
        </w:tc>
      </w:tr>
      <w:tr>
        <w:tblPrEx>
          <w:tblCellMar>
            <w:top w:w="0" w:type="dxa"/>
            <w:left w:w="108" w:type="dxa"/>
            <w:bottom w:w="0" w:type="dxa"/>
            <w:right w:w="108" w:type="dxa"/>
          </w:tblCellMar>
        </w:tblPrEx>
        <w:trPr>
          <w:trHeight w:val="126" w:hRule="atLeast"/>
          <w:jc w:val="center"/>
        </w:trPr>
        <w:tc>
          <w:tcPr>
            <w:tcW w:w="1266" w:type="dxa"/>
            <w:vMerge w:val="continue"/>
            <w:tcBorders>
              <w:top w:val="single" w:color="auto" w:sz="4" w:space="0"/>
              <w:left w:val="single" w:color="auto" w:sz="4" w:space="0"/>
              <w:right w:val="single" w:color="auto" w:sz="4" w:space="0"/>
            </w:tcBorders>
            <w:shd w:val="clear" w:color="auto" w:fill="auto"/>
            <w:noWrap/>
            <w:vAlign w:val="center"/>
          </w:tcPr>
          <w:p>
            <w:pPr>
              <w:widowControl/>
              <w:spacing w:line="200" w:lineRule="atLeast"/>
              <w:rPr>
                <w:rFonts w:ascii="宋体" w:hAnsi="宋体" w:cs="宋体"/>
                <w:kern w:val="0"/>
                <w:szCs w:val="21"/>
              </w:rPr>
            </w:pPr>
          </w:p>
        </w:tc>
        <w:tc>
          <w:tcPr>
            <w:tcW w:w="2293" w:type="dxa"/>
            <w:tcBorders>
              <w:top w:val="single" w:color="auto" w:sz="4" w:space="0"/>
              <w:left w:val="nil"/>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应用韩语</w:t>
            </w:r>
          </w:p>
        </w:tc>
        <w:tc>
          <w:tcPr>
            <w:tcW w:w="388" w:type="dxa"/>
            <w:tcBorders>
              <w:top w:val="single" w:color="auto" w:sz="4" w:space="0"/>
              <w:left w:val="nil"/>
              <w:bottom w:val="single" w:color="auto" w:sz="4" w:space="0"/>
              <w:right w:val="single" w:color="auto" w:sz="4" w:space="0"/>
            </w:tcBorders>
            <w:noWrap/>
            <w:vAlign w:val="center"/>
          </w:tcPr>
          <w:p>
            <w:pPr>
              <w:widowControl/>
              <w:spacing w:line="200" w:lineRule="atLeast"/>
              <w:rPr>
                <w:rFonts w:hint="eastAsia" w:ascii="宋体" w:hAnsi="宋体" w:eastAsia="宋体" w:cs="宋体"/>
                <w:kern w:val="0"/>
                <w:szCs w:val="21"/>
                <w:lang w:val="en-US" w:eastAsia="zh-CN"/>
              </w:rPr>
            </w:pPr>
            <w:r>
              <w:rPr>
                <w:rFonts w:hint="eastAsia" w:ascii="宋体" w:hAnsi="宋体" w:cs="宋体"/>
                <w:kern w:val="0"/>
                <w:szCs w:val="21"/>
                <w:lang w:val="en-US" w:eastAsia="zh-CN"/>
              </w:rPr>
              <w:t>5</w:t>
            </w:r>
          </w:p>
        </w:tc>
        <w:tc>
          <w:tcPr>
            <w:tcW w:w="637" w:type="dxa"/>
            <w:tcBorders>
              <w:top w:val="single" w:color="auto" w:sz="4" w:space="0"/>
              <w:left w:val="nil"/>
              <w:bottom w:val="single" w:color="auto" w:sz="4" w:space="0"/>
              <w:right w:val="single" w:color="auto" w:sz="4" w:space="0"/>
            </w:tcBorders>
            <w:noWrap/>
            <w:vAlign w:val="center"/>
          </w:tcPr>
          <w:p>
            <w:pPr>
              <w:widowControl/>
              <w:spacing w:line="200" w:lineRule="atLeast"/>
              <w:rPr>
                <w:rFonts w:hint="eastAsia" w:ascii="宋体" w:hAnsi="宋体" w:eastAsia="宋体" w:cs="宋体"/>
                <w:kern w:val="0"/>
                <w:sz w:val="21"/>
                <w:szCs w:val="21"/>
                <w:lang w:val="en-US" w:eastAsia="zh-CN" w:bidi="ar-SA"/>
              </w:rPr>
            </w:pPr>
            <w:r>
              <w:rPr>
                <w:rFonts w:hint="eastAsia" w:ascii="宋体" w:hAnsi="宋体" w:cs="宋体"/>
                <w:kern w:val="0"/>
                <w:szCs w:val="21"/>
              </w:rPr>
              <w:t>专科</w:t>
            </w:r>
          </w:p>
        </w:tc>
        <w:tc>
          <w:tcPr>
            <w:tcW w:w="1063" w:type="dxa"/>
            <w:tcBorders>
              <w:top w:val="single" w:color="auto" w:sz="4" w:space="0"/>
              <w:left w:val="nil"/>
              <w:bottom w:val="single" w:color="auto" w:sz="4" w:space="0"/>
              <w:right w:val="single" w:color="auto" w:sz="4" w:space="0"/>
            </w:tcBorders>
            <w:noWrap/>
            <w:vAlign w:val="center"/>
          </w:tcPr>
          <w:p>
            <w:pPr>
              <w:widowControl/>
              <w:spacing w:line="200" w:lineRule="atLeast"/>
              <w:rPr>
                <w:rFonts w:hint="default" w:ascii="宋体" w:hAnsi="宋体" w:eastAsia="宋体" w:cs="宋体"/>
                <w:kern w:val="0"/>
                <w:szCs w:val="21"/>
                <w:lang w:val="en-US" w:eastAsia="zh-CN"/>
              </w:rPr>
            </w:pPr>
            <w:r>
              <w:rPr>
                <w:rFonts w:hint="eastAsia" w:ascii="宋体" w:hAnsi="宋体" w:cs="宋体"/>
                <w:kern w:val="0"/>
                <w:szCs w:val="21"/>
                <w:lang w:val="en-US" w:eastAsia="zh-CN"/>
              </w:rPr>
              <w:t>14</w:t>
            </w:r>
          </w:p>
        </w:tc>
        <w:tc>
          <w:tcPr>
            <w:tcW w:w="689" w:type="dxa"/>
            <w:vMerge w:val="continue"/>
            <w:tcBorders>
              <w:top w:val="single" w:color="auto" w:sz="4" w:space="0"/>
              <w:left w:val="nil"/>
              <w:bottom w:val="single" w:color="auto" w:sz="4" w:space="0"/>
              <w:right w:val="single" w:color="auto" w:sz="4" w:space="0"/>
            </w:tcBorders>
            <w:noWrap/>
            <w:vAlign w:val="center"/>
          </w:tcPr>
          <w:p>
            <w:pPr>
              <w:widowControl/>
              <w:spacing w:line="200" w:lineRule="atLeast"/>
              <w:rPr>
                <w:rFonts w:ascii="宋体" w:hAnsi="宋体" w:cs="宋体"/>
                <w:kern w:val="0"/>
                <w:szCs w:val="21"/>
              </w:rPr>
            </w:pPr>
          </w:p>
        </w:tc>
      </w:tr>
      <w:tr>
        <w:tblPrEx>
          <w:tblCellMar>
            <w:top w:w="0" w:type="dxa"/>
            <w:left w:w="108" w:type="dxa"/>
            <w:bottom w:w="0" w:type="dxa"/>
            <w:right w:w="108" w:type="dxa"/>
          </w:tblCellMar>
        </w:tblPrEx>
        <w:trPr>
          <w:trHeight w:val="300" w:hRule="atLeast"/>
          <w:jc w:val="center"/>
        </w:trPr>
        <w:tc>
          <w:tcPr>
            <w:tcW w:w="1266" w:type="dxa"/>
            <w:vMerge w:val="continue"/>
            <w:tcBorders>
              <w:left w:val="single" w:color="auto" w:sz="4" w:space="0"/>
              <w:right w:val="single" w:color="auto" w:sz="4" w:space="0"/>
            </w:tcBorders>
            <w:shd w:val="clear" w:color="auto" w:fill="auto"/>
            <w:noWrap/>
            <w:vAlign w:val="center"/>
          </w:tcPr>
          <w:p>
            <w:pPr>
              <w:widowControl/>
              <w:spacing w:line="200" w:lineRule="atLeast"/>
              <w:rPr>
                <w:rFonts w:ascii="宋体" w:hAnsi="宋体" w:cs="宋体"/>
                <w:kern w:val="0"/>
                <w:szCs w:val="21"/>
              </w:rPr>
            </w:pPr>
          </w:p>
        </w:tc>
        <w:tc>
          <w:tcPr>
            <w:tcW w:w="2293" w:type="dxa"/>
            <w:tcBorders>
              <w:top w:val="nil"/>
              <w:left w:val="nil"/>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ascii="宋体" w:hAnsi="宋体" w:cs="宋体"/>
                <w:kern w:val="0"/>
                <w:szCs w:val="21"/>
              </w:rPr>
            </w:pPr>
            <w:r>
              <w:rPr>
                <w:rFonts w:hint="eastAsia" w:ascii="宋体" w:hAnsi="宋体" w:eastAsia="宋体" w:cs="宋体"/>
                <w:i w:val="0"/>
                <w:color w:val="000000"/>
                <w:kern w:val="0"/>
                <w:sz w:val="22"/>
                <w:szCs w:val="22"/>
                <w:u w:val="none"/>
                <w:lang w:val="en-US" w:eastAsia="zh-CN" w:bidi="ar"/>
              </w:rPr>
              <w:t>应用日语</w:t>
            </w:r>
          </w:p>
        </w:tc>
        <w:tc>
          <w:tcPr>
            <w:tcW w:w="388" w:type="dxa"/>
            <w:tcBorders>
              <w:top w:val="nil"/>
              <w:left w:val="nil"/>
              <w:bottom w:val="single" w:color="auto" w:sz="4" w:space="0"/>
              <w:right w:val="single" w:color="auto" w:sz="4" w:space="0"/>
            </w:tcBorders>
            <w:noWrap/>
            <w:vAlign w:val="center"/>
          </w:tcPr>
          <w:p>
            <w:pPr>
              <w:widowControl/>
              <w:spacing w:line="200" w:lineRule="atLeast"/>
              <w:rPr>
                <w:rFonts w:ascii="宋体" w:hAnsi="宋体" w:cs="宋体"/>
                <w:kern w:val="0"/>
                <w:szCs w:val="21"/>
              </w:rPr>
            </w:pPr>
            <w:r>
              <w:rPr>
                <w:rFonts w:hint="eastAsia" w:ascii="宋体" w:hAnsi="宋体" w:cs="宋体"/>
                <w:kern w:val="0"/>
                <w:szCs w:val="21"/>
              </w:rPr>
              <w:t>3</w:t>
            </w:r>
          </w:p>
        </w:tc>
        <w:tc>
          <w:tcPr>
            <w:tcW w:w="637" w:type="dxa"/>
            <w:tcBorders>
              <w:top w:val="nil"/>
              <w:left w:val="nil"/>
              <w:bottom w:val="single" w:color="auto" w:sz="4" w:space="0"/>
              <w:right w:val="single" w:color="auto" w:sz="4" w:space="0"/>
            </w:tcBorders>
            <w:noWrap/>
            <w:vAlign w:val="center"/>
          </w:tcPr>
          <w:p>
            <w:pPr>
              <w:widowControl/>
              <w:spacing w:line="200" w:lineRule="atLeast"/>
              <w:rPr>
                <w:rFonts w:ascii="宋体" w:hAnsi="宋体" w:cs="宋体"/>
                <w:kern w:val="0"/>
                <w:szCs w:val="21"/>
              </w:rPr>
            </w:pPr>
            <w:r>
              <w:rPr>
                <w:rFonts w:hint="eastAsia" w:ascii="宋体" w:hAnsi="宋体" w:cs="宋体"/>
                <w:kern w:val="0"/>
                <w:szCs w:val="21"/>
              </w:rPr>
              <w:t>专科</w:t>
            </w:r>
          </w:p>
        </w:tc>
        <w:tc>
          <w:tcPr>
            <w:tcW w:w="1063" w:type="dxa"/>
            <w:tcBorders>
              <w:top w:val="nil"/>
              <w:left w:val="nil"/>
              <w:bottom w:val="single" w:color="auto" w:sz="4" w:space="0"/>
              <w:right w:val="single" w:color="auto" w:sz="4" w:space="0"/>
            </w:tcBorders>
            <w:noWrap/>
            <w:vAlign w:val="center"/>
          </w:tcPr>
          <w:p>
            <w:pPr>
              <w:widowControl/>
              <w:spacing w:line="200" w:lineRule="atLeast"/>
              <w:rPr>
                <w:rFonts w:hint="default" w:ascii="宋体" w:hAnsi="宋体" w:eastAsia="宋体" w:cs="宋体"/>
                <w:kern w:val="0"/>
                <w:szCs w:val="21"/>
                <w:lang w:val="en-US" w:eastAsia="zh-CN"/>
              </w:rPr>
            </w:pPr>
            <w:r>
              <w:rPr>
                <w:rFonts w:hint="eastAsia" w:ascii="宋体" w:hAnsi="宋体" w:cs="宋体"/>
                <w:kern w:val="0"/>
                <w:szCs w:val="21"/>
                <w:lang w:val="en-US" w:eastAsia="zh-CN"/>
              </w:rPr>
              <w:t>28</w:t>
            </w:r>
          </w:p>
        </w:tc>
        <w:tc>
          <w:tcPr>
            <w:tcW w:w="689" w:type="dxa"/>
            <w:vMerge w:val="continue"/>
            <w:tcBorders>
              <w:top w:val="single" w:color="auto" w:sz="4" w:space="0"/>
              <w:left w:val="nil"/>
              <w:bottom w:val="single" w:color="auto" w:sz="4" w:space="0"/>
              <w:right w:val="single" w:color="auto" w:sz="4" w:space="0"/>
            </w:tcBorders>
            <w:noWrap/>
            <w:vAlign w:val="center"/>
          </w:tcPr>
          <w:p>
            <w:pPr>
              <w:widowControl/>
              <w:spacing w:line="200" w:lineRule="atLeast"/>
              <w:rPr>
                <w:rFonts w:ascii="宋体" w:hAnsi="宋体" w:cs="宋体"/>
                <w:kern w:val="0"/>
                <w:szCs w:val="21"/>
              </w:rPr>
            </w:pPr>
          </w:p>
        </w:tc>
      </w:tr>
      <w:tr>
        <w:tblPrEx>
          <w:tblCellMar>
            <w:top w:w="0" w:type="dxa"/>
            <w:left w:w="108" w:type="dxa"/>
            <w:bottom w:w="0" w:type="dxa"/>
            <w:right w:w="108" w:type="dxa"/>
          </w:tblCellMar>
        </w:tblPrEx>
        <w:trPr>
          <w:trHeight w:val="183" w:hRule="atLeast"/>
          <w:jc w:val="center"/>
        </w:trPr>
        <w:tc>
          <w:tcPr>
            <w:tcW w:w="1266" w:type="dxa"/>
            <w:vMerge w:val="continue"/>
            <w:tcBorders>
              <w:left w:val="single" w:color="auto" w:sz="4" w:space="0"/>
              <w:bottom w:val="single" w:color="000000" w:sz="4" w:space="0"/>
              <w:right w:val="single" w:color="auto" w:sz="4" w:space="0"/>
            </w:tcBorders>
            <w:shd w:val="clear" w:color="auto" w:fill="auto"/>
            <w:noWrap/>
            <w:vAlign w:val="center"/>
          </w:tcPr>
          <w:p>
            <w:pPr>
              <w:widowControl/>
              <w:spacing w:line="200" w:lineRule="atLeast"/>
              <w:rPr>
                <w:rFonts w:ascii="宋体" w:hAnsi="宋体" w:cs="宋体"/>
                <w:kern w:val="0"/>
                <w:szCs w:val="21"/>
              </w:rPr>
            </w:pPr>
          </w:p>
        </w:tc>
        <w:tc>
          <w:tcPr>
            <w:tcW w:w="2293" w:type="dxa"/>
            <w:tcBorders>
              <w:top w:val="nil"/>
              <w:left w:val="nil"/>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ascii="宋体" w:hAnsi="宋体" w:cs="宋体"/>
                <w:kern w:val="0"/>
                <w:szCs w:val="21"/>
              </w:rPr>
            </w:pPr>
            <w:r>
              <w:rPr>
                <w:rFonts w:hint="eastAsia" w:ascii="宋体" w:hAnsi="宋体" w:eastAsia="宋体" w:cs="宋体"/>
                <w:i w:val="0"/>
                <w:color w:val="000000"/>
                <w:kern w:val="0"/>
                <w:sz w:val="22"/>
                <w:szCs w:val="22"/>
                <w:u w:val="none"/>
                <w:lang w:val="en-US" w:eastAsia="zh-CN" w:bidi="ar"/>
              </w:rPr>
              <w:t>应用泰语</w:t>
            </w:r>
          </w:p>
        </w:tc>
        <w:tc>
          <w:tcPr>
            <w:tcW w:w="388" w:type="dxa"/>
            <w:tcBorders>
              <w:top w:val="nil"/>
              <w:left w:val="nil"/>
              <w:bottom w:val="single" w:color="auto" w:sz="4" w:space="0"/>
              <w:right w:val="single" w:color="auto" w:sz="4" w:space="0"/>
            </w:tcBorders>
            <w:noWrap/>
            <w:vAlign w:val="center"/>
          </w:tcPr>
          <w:p>
            <w:pPr>
              <w:widowControl/>
              <w:spacing w:line="200" w:lineRule="atLeast"/>
              <w:rPr>
                <w:rFonts w:ascii="宋体" w:hAnsi="宋体" w:cs="宋体"/>
                <w:kern w:val="0"/>
                <w:szCs w:val="21"/>
              </w:rPr>
            </w:pPr>
            <w:r>
              <w:rPr>
                <w:rFonts w:hint="eastAsia" w:ascii="宋体" w:hAnsi="宋体" w:cs="宋体"/>
                <w:kern w:val="0"/>
                <w:szCs w:val="21"/>
              </w:rPr>
              <w:t>3</w:t>
            </w:r>
          </w:p>
        </w:tc>
        <w:tc>
          <w:tcPr>
            <w:tcW w:w="637" w:type="dxa"/>
            <w:tcBorders>
              <w:top w:val="nil"/>
              <w:left w:val="nil"/>
              <w:bottom w:val="single" w:color="auto" w:sz="4" w:space="0"/>
              <w:right w:val="single" w:color="auto" w:sz="4" w:space="0"/>
            </w:tcBorders>
            <w:noWrap/>
            <w:vAlign w:val="center"/>
          </w:tcPr>
          <w:p>
            <w:pPr>
              <w:widowControl/>
              <w:spacing w:line="200" w:lineRule="atLeast"/>
              <w:rPr>
                <w:rFonts w:ascii="宋体" w:hAnsi="宋体" w:cs="宋体"/>
                <w:kern w:val="0"/>
                <w:szCs w:val="21"/>
              </w:rPr>
            </w:pPr>
            <w:r>
              <w:rPr>
                <w:rFonts w:hint="eastAsia" w:ascii="宋体" w:hAnsi="宋体" w:cs="宋体"/>
                <w:kern w:val="0"/>
                <w:szCs w:val="21"/>
              </w:rPr>
              <w:t>专科</w:t>
            </w:r>
          </w:p>
        </w:tc>
        <w:tc>
          <w:tcPr>
            <w:tcW w:w="1063" w:type="dxa"/>
            <w:tcBorders>
              <w:top w:val="nil"/>
              <w:left w:val="nil"/>
              <w:bottom w:val="single" w:color="auto" w:sz="4" w:space="0"/>
              <w:right w:val="single" w:color="auto" w:sz="4" w:space="0"/>
            </w:tcBorders>
            <w:noWrap/>
            <w:vAlign w:val="center"/>
          </w:tcPr>
          <w:p>
            <w:pPr>
              <w:widowControl/>
              <w:spacing w:line="200" w:lineRule="atLeast"/>
              <w:rPr>
                <w:rFonts w:hint="default" w:ascii="宋体" w:hAnsi="宋体" w:eastAsia="宋体" w:cs="宋体"/>
                <w:kern w:val="0"/>
                <w:szCs w:val="21"/>
                <w:lang w:val="en-US" w:eastAsia="zh-CN"/>
              </w:rPr>
            </w:pPr>
            <w:r>
              <w:rPr>
                <w:rFonts w:hint="eastAsia" w:ascii="宋体" w:hAnsi="宋体" w:cs="宋体"/>
                <w:kern w:val="0"/>
                <w:szCs w:val="21"/>
                <w:lang w:val="en-US" w:eastAsia="zh-CN"/>
              </w:rPr>
              <w:t>17</w:t>
            </w:r>
          </w:p>
        </w:tc>
        <w:tc>
          <w:tcPr>
            <w:tcW w:w="689" w:type="dxa"/>
            <w:vMerge w:val="continue"/>
            <w:tcBorders>
              <w:top w:val="single" w:color="auto" w:sz="4" w:space="0"/>
              <w:left w:val="nil"/>
              <w:bottom w:val="single" w:color="auto" w:sz="4" w:space="0"/>
              <w:right w:val="single" w:color="auto" w:sz="4" w:space="0"/>
            </w:tcBorders>
            <w:noWrap/>
            <w:vAlign w:val="center"/>
          </w:tcPr>
          <w:p>
            <w:pPr>
              <w:widowControl/>
              <w:spacing w:line="200" w:lineRule="atLeast"/>
              <w:rPr>
                <w:rFonts w:ascii="宋体" w:hAnsi="宋体" w:cs="宋体"/>
                <w:kern w:val="0"/>
                <w:szCs w:val="21"/>
              </w:rPr>
            </w:pPr>
          </w:p>
        </w:tc>
      </w:tr>
      <w:tr>
        <w:tblPrEx>
          <w:tblCellMar>
            <w:top w:w="0" w:type="dxa"/>
            <w:left w:w="108" w:type="dxa"/>
            <w:bottom w:w="0" w:type="dxa"/>
            <w:right w:w="108" w:type="dxa"/>
          </w:tblCellMar>
        </w:tblPrEx>
        <w:trPr>
          <w:trHeight w:val="138" w:hRule="atLeast"/>
          <w:jc w:val="center"/>
        </w:trPr>
        <w:tc>
          <w:tcPr>
            <w:tcW w:w="1266" w:type="dxa"/>
            <w:vMerge w:val="continue"/>
            <w:tcBorders>
              <w:left w:val="single" w:color="auto" w:sz="4" w:space="0"/>
              <w:bottom w:val="single" w:color="000000" w:sz="4" w:space="0"/>
              <w:right w:val="single" w:color="auto" w:sz="4" w:space="0"/>
            </w:tcBorders>
            <w:shd w:val="clear" w:color="auto" w:fill="auto"/>
            <w:noWrap/>
            <w:vAlign w:val="center"/>
          </w:tcPr>
          <w:p>
            <w:pPr>
              <w:widowControl/>
              <w:spacing w:line="200" w:lineRule="atLeast"/>
              <w:rPr>
                <w:rFonts w:ascii="宋体" w:hAnsi="宋体" w:cs="宋体"/>
                <w:kern w:val="0"/>
                <w:szCs w:val="21"/>
              </w:rPr>
            </w:pPr>
          </w:p>
        </w:tc>
        <w:tc>
          <w:tcPr>
            <w:tcW w:w="2293" w:type="dxa"/>
            <w:tcBorders>
              <w:top w:val="single" w:color="auto" w:sz="4" w:space="0"/>
              <w:left w:val="nil"/>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应用外语</w:t>
            </w:r>
          </w:p>
        </w:tc>
        <w:tc>
          <w:tcPr>
            <w:tcW w:w="388" w:type="dxa"/>
            <w:tcBorders>
              <w:top w:val="single" w:color="auto" w:sz="4" w:space="0"/>
              <w:left w:val="nil"/>
              <w:bottom w:val="single" w:color="auto" w:sz="4" w:space="0"/>
              <w:right w:val="single" w:color="auto" w:sz="4" w:space="0"/>
            </w:tcBorders>
            <w:noWrap/>
            <w:vAlign w:val="center"/>
          </w:tcPr>
          <w:p>
            <w:pPr>
              <w:widowControl/>
              <w:spacing w:line="200" w:lineRule="atLeast"/>
              <w:rPr>
                <w:rFonts w:hint="eastAsia" w:ascii="宋体" w:hAnsi="宋体" w:eastAsia="宋体" w:cs="宋体"/>
                <w:kern w:val="0"/>
                <w:szCs w:val="21"/>
                <w:lang w:val="en-US" w:eastAsia="zh-CN"/>
              </w:rPr>
            </w:pPr>
            <w:r>
              <w:rPr>
                <w:rFonts w:hint="eastAsia" w:ascii="宋体" w:hAnsi="宋体" w:cs="宋体"/>
                <w:kern w:val="0"/>
                <w:szCs w:val="21"/>
                <w:lang w:val="en-US" w:eastAsia="zh-CN"/>
              </w:rPr>
              <w:t>3</w:t>
            </w:r>
          </w:p>
        </w:tc>
        <w:tc>
          <w:tcPr>
            <w:tcW w:w="637" w:type="dxa"/>
            <w:tcBorders>
              <w:top w:val="single" w:color="auto" w:sz="4" w:space="0"/>
              <w:left w:val="nil"/>
              <w:bottom w:val="single" w:color="auto" w:sz="4" w:space="0"/>
              <w:right w:val="single" w:color="auto" w:sz="4" w:space="0"/>
            </w:tcBorders>
            <w:noWrap/>
            <w:vAlign w:val="center"/>
          </w:tcPr>
          <w:p>
            <w:pPr>
              <w:widowControl/>
              <w:spacing w:line="200" w:lineRule="atLeast"/>
              <w:rPr>
                <w:rFonts w:hint="eastAsia" w:ascii="宋体" w:hAnsi="宋体" w:cs="宋体"/>
                <w:kern w:val="0"/>
                <w:szCs w:val="21"/>
              </w:rPr>
            </w:pPr>
            <w:r>
              <w:rPr>
                <w:rFonts w:hint="eastAsia" w:ascii="宋体" w:hAnsi="宋体" w:cs="宋体"/>
                <w:kern w:val="0"/>
                <w:szCs w:val="21"/>
              </w:rPr>
              <w:t>专科</w:t>
            </w:r>
          </w:p>
        </w:tc>
        <w:tc>
          <w:tcPr>
            <w:tcW w:w="1063" w:type="dxa"/>
            <w:tcBorders>
              <w:top w:val="single" w:color="auto" w:sz="4" w:space="0"/>
              <w:left w:val="nil"/>
              <w:bottom w:val="single" w:color="auto" w:sz="4" w:space="0"/>
              <w:right w:val="single" w:color="auto" w:sz="4" w:space="0"/>
            </w:tcBorders>
            <w:noWrap/>
            <w:vAlign w:val="center"/>
          </w:tcPr>
          <w:p>
            <w:pPr>
              <w:widowControl/>
              <w:spacing w:line="200" w:lineRule="atLeast"/>
              <w:rPr>
                <w:rFonts w:hint="default" w:ascii="宋体" w:hAnsi="宋体" w:cs="宋体"/>
                <w:kern w:val="0"/>
                <w:szCs w:val="21"/>
                <w:lang w:val="en-US" w:eastAsia="zh-CN"/>
              </w:rPr>
            </w:pPr>
            <w:r>
              <w:rPr>
                <w:rFonts w:hint="eastAsia" w:ascii="宋体" w:hAnsi="宋体" w:cs="宋体"/>
                <w:kern w:val="0"/>
                <w:szCs w:val="21"/>
                <w:lang w:val="en-US" w:eastAsia="zh-CN"/>
              </w:rPr>
              <w:t>3</w:t>
            </w:r>
          </w:p>
        </w:tc>
        <w:tc>
          <w:tcPr>
            <w:tcW w:w="689" w:type="dxa"/>
            <w:vMerge w:val="continue"/>
            <w:tcBorders>
              <w:left w:val="nil"/>
              <w:bottom w:val="single" w:color="auto" w:sz="4" w:space="0"/>
              <w:right w:val="single" w:color="auto" w:sz="4" w:space="0"/>
            </w:tcBorders>
            <w:noWrap/>
            <w:vAlign w:val="center"/>
          </w:tcPr>
          <w:p>
            <w:pPr>
              <w:widowControl/>
              <w:spacing w:line="200" w:lineRule="atLeast"/>
              <w:rPr>
                <w:rFonts w:ascii="宋体" w:hAnsi="宋体" w:cs="宋体"/>
                <w:kern w:val="0"/>
                <w:szCs w:val="21"/>
              </w:rPr>
            </w:pPr>
          </w:p>
        </w:tc>
      </w:tr>
      <w:tr>
        <w:tblPrEx>
          <w:tblCellMar>
            <w:top w:w="0" w:type="dxa"/>
            <w:left w:w="108" w:type="dxa"/>
            <w:bottom w:w="0" w:type="dxa"/>
            <w:right w:w="108" w:type="dxa"/>
          </w:tblCellMar>
        </w:tblPrEx>
        <w:trPr>
          <w:trHeight w:val="231" w:hRule="atLeast"/>
          <w:jc w:val="center"/>
        </w:trPr>
        <w:tc>
          <w:tcPr>
            <w:tcW w:w="1266" w:type="dxa"/>
            <w:vMerge w:val="continue"/>
            <w:tcBorders>
              <w:left w:val="single" w:color="auto" w:sz="4" w:space="0"/>
              <w:bottom w:val="single" w:color="000000" w:sz="4" w:space="0"/>
              <w:right w:val="single" w:color="auto" w:sz="4" w:space="0"/>
            </w:tcBorders>
            <w:shd w:val="clear" w:color="auto" w:fill="auto"/>
            <w:noWrap/>
            <w:vAlign w:val="center"/>
          </w:tcPr>
          <w:p>
            <w:pPr>
              <w:widowControl/>
              <w:spacing w:line="200" w:lineRule="atLeast"/>
              <w:rPr>
                <w:rFonts w:ascii="宋体" w:hAnsi="宋体" w:cs="宋体"/>
                <w:kern w:val="0"/>
                <w:szCs w:val="21"/>
              </w:rPr>
            </w:pPr>
          </w:p>
        </w:tc>
        <w:tc>
          <w:tcPr>
            <w:tcW w:w="2293" w:type="dxa"/>
            <w:tcBorders>
              <w:top w:val="single" w:color="auto" w:sz="4" w:space="0"/>
              <w:left w:val="nil"/>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应用越南语</w:t>
            </w:r>
          </w:p>
        </w:tc>
        <w:tc>
          <w:tcPr>
            <w:tcW w:w="388" w:type="dxa"/>
            <w:tcBorders>
              <w:top w:val="single" w:color="auto" w:sz="4" w:space="0"/>
              <w:left w:val="nil"/>
              <w:bottom w:val="single" w:color="auto" w:sz="4" w:space="0"/>
              <w:right w:val="single" w:color="auto" w:sz="4" w:space="0"/>
            </w:tcBorders>
            <w:noWrap/>
            <w:vAlign w:val="center"/>
          </w:tcPr>
          <w:p>
            <w:pPr>
              <w:widowControl/>
              <w:spacing w:line="200" w:lineRule="atLeast"/>
              <w:rPr>
                <w:rFonts w:hint="eastAsia" w:ascii="宋体" w:hAnsi="宋体" w:eastAsia="宋体" w:cs="宋体"/>
                <w:kern w:val="0"/>
                <w:szCs w:val="21"/>
                <w:lang w:val="en-US" w:eastAsia="zh-CN"/>
              </w:rPr>
            </w:pPr>
            <w:r>
              <w:rPr>
                <w:rFonts w:hint="eastAsia" w:ascii="宋体" w:hAnsi="宋体" w:cs="宋体"/>
                <w:kern w:val="0"/>
                <w:szCs w:val="21"/>
                <w:lang w:val="en-US" w:eastAsia="zh-CN"/>
              </w:rPr>
              <w:t>3</w:t>
            </w:r>
          </w:p>
        </w:tc>
        <w:tc>
          <w:tcPr>
            <w:tcW w:w="637" w:type="dxa"/>
            <w:tcBorders>
              <w:top w:val="single" w:color="auto" w:sz="4" w:space="0"/>
              <w:left w:val="nil"/>
              <w:bottom w:val="single" w:color="auto" w:sz="4" w:space="0"/>
              <w:right w:val="single" w:color="auto" w:sz="4" w:space="0"/>
            </w:tcBorders>
            <w:noWrap/>
            <w:vAlign w:val="center"/>
          </w:tcPr>
          <w:p>
            <w:pPr>
              <w:widowControl/>
              <w:spacing w:line="200" w:lineRule="atLeast"/>
              <w:rPr>
                <w:rFonts w:hint="eastAsia" w:ascii="宋体" w:hAnsi="宋体" w:cs="宋体"/>
                <w:kern w:val="0"/>
                <w:szCs w:val="21"/>
              </w:rPr>
            </w:pPr>
            <w:r>
              <w:rPr>
                <w:rFonts w:hint="eastAsia" w:ascii="宋体" w:hAnsi="宋体" w:cs="宋体"/>
                <w:kern w:val="0"/>
                <w:szCs w:val="21"/>
              </w:rPr>
              <w:t>专科</w:t>
            </w:r>
          </w:p>
        </w:tc>
        <w:tc>
          <w:tcPr>
            <w:tcW w:w="1063" w:type="dxa"/>
            <w:tcBorders>
              <w:top w:val="single" w:color="auto" w:sz="4" w:space="0"/>
              <w:left w:val="nil"/>
              <w:bottom w:val="single" w:color="auto" w:sz="4" w:space="0"/>
              <w:right w:val="single" w:color="auto" w:sz="4" w:space="0"/>
            </w:tcBorders>
            <w:noWrap/>
            <w:vAlign w:val="center"/>
          </w:tcPr>
          <w:p>
            <w:pPr>
              <w:widowControl/>
              <w:spacing w:line="200" w:lineRule="atLeast"/>
              <w:rPr>
                <w:rFonts w:hint="default" w:ascii="宋体" w:hAnsi="宋体" w:cs="宋体"/>
                <w:kern w:val="0"/>
                <w:szCs w:val="21"/>
                <w:lang w:val="en-US" w:eastAsia="zh-CN"/>
              </w:rPr>
            </w:pPr>
            <w:r>
              <w:rPr>
                <w:rFonts w:hint="eastAsia" w:ascii="宋体" w:hAnsi="宋体" w:cs="宋体"/>
                <w:kern w:val="0"/>
                <w:szCs w:val="21"/>
                <w:lang w:val="en-US" w:eastAsia="zh-CN"/>
              </w:rPr>
              <w:t>2</w:t>
            </w:r>
          </w:p>
        </w:tc>
        <w:tc>
          <w:tcPr>
            <w:tcW w:w="689" w:type="dxa"/>
            <w:vMerge w:val="continue"/>
            <w:tcBorders>
              <w:left w:val="nil"/>
              <w:bottom w:val="single" w:color="auto" w:sz="4" w:space="0"/>
              <w:right w:val="single" w:color="auto" w:sz="4" w:space="0"/>
            </w:tcBorders>
            <w:noWrap/>
            <w:vAlign w:val="center"/>
          </w:tcPr>
          <w:p>
            <w:pPr>
              <w:widowControl/>
              <w:spacing w:line="200" w:lineRule="atLeast"/>
              <w:rPr>
                <w:rFonts w:ascii="宋体" w:hAnsi="宋体" w:cs="宋体"/>
                <w:kern w:val="0"/>
                <w:szCs w:val="21"/>
              </w:rPr>
            </w:pPr>
          </w:p>
        </w:tc>
      </w:tr>
      <w:tr>
        <w:tblPrEx>
          <w:tblCellMar>
            <w:top w:w="0" w:type="dxa"/>
            <w:left w:w="108" w:type="dxa"/>
            <w:bottom w:w="0" w:type="dxa"/>
            <w:right w:w="108" w:type="dxa"/>
          </w:tblCellMar>
        </w:tblPrEx>
        <w:trPr>
          <w:trHeight w:val="237" w:hRule="atLeast"/>
          <w:jc w:val="center"/>
        </w:trPr>
        <w:tc>
          <w:tcPr>
            <w:tcW w:w="1266" w:type="dxa"/>
            <w:vMerge w:val="restart"/>
            <w:tcBorders>
              <w:top w:val="nil"/>
              <w:left w:val="single" w:color="auto" w:sz="4" w:space="0"/>
              <w:right w:val="single" w:color="auto" w:sz="4" w:space="0"/>
            </w:tcBorders>
            <w:noWrap/>
            <w:vAlign w:val="center"/>
          </w:tcPr>
          <w:p>
            <w:pPr>
              <w:widowControl/>
              <w:spacing w:line="200" w:lineRule="atLeast"/>
              <w:rPr>
                <w:rFonts w:ascii="宋体" w:hAnsi="宋体" w:cs="宋体"/>
                <w:kern w:val="0"/>
                <w:szCs w:val="21"/>
              </w:rPr>
            </w:pPr>
            <w:r>
              <w:rPr>
                <w:rFonts w:hint="eastAsia" w:ascii="宋体" w:hAnsi="宋体" w:cs="宋体"/>
                <w:kern w:val="0"/>
                <w:szCs w:val="21"/>
              </w:rPr>
              <w:t>西语系</w:t>
            </w:r>
          </w:p>
        </w:tc>
        <w:tc>
          <w:tcPr>
            <w:tcW w:w="2293"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cs="宋体"/>
                <w:kern w:val="0"/>
                <w:szCs w:val="21"/>
              </w:rPr>
            </w:pPr>
            <w:r>
              <w:rPr>
                <w:rFonts w:hint="eastAsia" w:ascii="宋体" w:hAnsi="宋体" w:eastAsia="宋体" w:cs="宋体"/>
                <w:i w:val="0"/>
                <w:color w:val="000000"/>
                <w:kern w:val="0"/>
                <w:sz w:val="22"/>
                <w:szCs w:val="22"/>
                <w:u w:val="none"/>
                <w:lang w:val="en-US" w:eastAsia="zh-CN" w:bidi="ar"/>
              </w:rPr>
              <w:t>应用德语</w:t>
            </w:r>
          </w:p>
        </w:tc>
        <w:tc>
          <w:tcPr>
            <w:tcW w:w="388" w:type="dxa"/>
            <w:tcBorders>
              <w:top w:val="nil"/>
              <w:left w:val="nil"/>
              <w:bottom w:val="single" w:color="auto" w:sz="4" w:space="0"/>
              <w:right w:val="single" w:color="auto" w:sz="4" w:space="0"/>
            </w:tcBorders>
            <w:noWrap/>
            <w:vAlign w:val="center"/>
          </w:tcPr>
          <w:p>
            <w:pPr>
              <w:widowControl/>
              <w:spacing w:line="200" w:lineRule="atLeast"/>
              <w:rPr>
                <w:rFonts w:ascii="宋体" w:hAnsi="宋体" w:cs="宋体"/>
                <w:kern w:val="0"/>
                <w:szCs w:val="21"/>
              </w:rPr>
            </w:pPr>
            <w:r>
              <w:rPr>
                <w:rFonts w:hint="eastAsia" w:ascii="宋体" w:hAnsi="宋体" w:cs="宋体"/>
                <w:kern w:val="0"/>
                <w:szCs w:val="21"/>
              </w:rPr>
              <w:t>3</w:t>
            </w:r>
          </w:p>
        </w:tc>
        <w:tc>
          <w:tcPr>
            <w:tcW w:w="637" w:type="dxa"/>
            <w:tcBorders>
              <w:top w:val="nil"/>
              <w:left w:val="nil"/>
              <w:bottom w:val="single" w:color="auto" w:sz="4" w:space="0"/>
              <w:right w:val="single" w:color="auto" w:sz="4" w:space="0"/>
            </w:tcBorders>
            <w:noWrap/>
            <w:vAlign w:val="center"/>
          </w:tcPr>
          <w:p>
            <w:pPr>
              <w:widowControl/>
              <w:spacing w:line="200" w:lineRule="atLeast"/>
              <w:rPr>
                <w:rFonts w:ascii="宋体" w:hAnsi="宋体" w:cs="宋体"/>
                <w:kern w:val="0"/>
                <w:szCs w:val="21"/>
              </w:rPr>
            </w:pPr>
            <w:r>
              <w:rPr>
                <w:rFonts w:hint="eastAsia" w:ascii="宋体" w:hAnsi="宋体" w:cs="宋体"/>
                <w:kern w:val="0"/>
                <w:szCs w:val="21"/>
              </w:rPr>
              <w:t>专科</w:t>
            </w:r>
          </w:p>
        </w:tc>
        <w:tc>
          <w:tcPr>
            <w:tcW w:w="1063" w:type="dxa"/>
            <w:tcBorders>
              <w:top w:val="single" w:color="auto" w:sz="4" w:space="0"/>
              <w:left w:val="nil"/>
              <w:bottom w:val="single" w:color="auto" w:sz="4" w:space="0"/>
              <w:right w:val="single" w:color="auto" w:sz="4" w:space="0"/>
            </w:tcBorders>
            <w:noWrap/>
            <w:vAlign w:val="center"/>
          </w:tcPr>
          <w:p>
            <w:pPr>
              <w:widowControl/>
              <w:spacing w:line="200" w:lineRule="atLeast"/>
              <w:rPr>
                <w:rFonts w:hint="default" w:ascii="宋体" w:hAnsi="宋体" w:eastAsia="宋体" w:cs="宋体"/>
                <w:kern w:val="0"/>
                <w:szCs w:val="21"/>
                <w:lang w:val="en-US" w:eastAsia="zh-CN"/>
              </w:rPr>
            </w:pPr>
            <w:r>
              <w:rPr>
                <w:rFonts w:hint="eastAsia" w:ascii="宋体" w:hAnsi="宋体" w:cs="宋体"/>
                <w:kern w:val="0"/>
                <w:szCs w:val="21"/>
                <w:lang w:val="en-US" w:eastAsia="zh-CN"/>
              </w:rPr>
              <w:t>28</w:t>
            </w:r>
          </w:p>
        </w:tc>
        <w:tc>
          <w:tcPr>
            <w:tcW w:w="689" w:type="dxa"/>
            <w:vMerge w:val="restart"/>
            <w:tcBorders>
              <w:top w:val="single" w:color="auto" w:sz="4" w:space="0"/>
              <w:left w:val="nil"/>
              <w:bottom w:val="single" w:color="auto" w:sz="4" w:space="0"/>
              <w:right w:val="single" w:color="auto" w:sz="4" w:space="0"/>
            </w:tcBorders>
            <w:noWrap/>
            <w:vAlign w:val="center"/>
          </w:tcPr>
          <w:p>
            <w:pPr>
              <w:widowControl/>
              <w:tabs>
                <w:tab w:val="left" w:pos="270"/>
              </w:tabs>
              <w:spacing w:line="200" w:lineRule="atLeast"/>
              <w:rPr>
                <w:rFonts w:hint="default" w:ascii="宋体" w:hAnsi="宋体" w:eastAsia="宋体" w:cs="宋体"/>
                <w:kern w:val="0"/>
                <w:szCs w:val="21"/>
                <w:lang w:val="en-US" w:eastAsia="zh-CN"/>
              </w:rPr>
            </w:pPr>
            <w:r>
              <w:rPr>
                <w:rFonts w:hint="eastAsia" w:ascii="宋体" w:hAnsi="宋体" w:cs="宋体"/>
                <w:kern w:val="0"/>
                <w:szCs w:val="21"/>
                <w:lang w:val="en-US" w:eastAsia="zh-CN"/>
              </w:rPr>
              <w:t>145</w:t>
            </w:r>
          </w:p>
        </w:tc>
      </w:tr>
      <w:tr>
        <w:tblPrEx>
          <w:tblCellMar>
            <w:top w:w="0" w:type="dxa"/>
            <w:left w:w="108" w:type="dxa"/>
            <w:bottom w:w="0" w:type="dxa"/>
            <w:right w:w="108" w:type="dxa"/>
          </w:tblCellMar>
        </w:tblPrEx>
        <w:trPr>
          <w:trHeight w:val="300" w:hRule="atLeast"/>
          <w:jc w:val="center"/>
        </w:trPr>
        <w:tc>
          <w:tcPr>
            <w:tcW w:w="1266" w:type="dxa"/>
            <w:vMerge w:val="continue"/>
            <w:tcBorders>
              <w:left w:val="single" w:color="auto" w:sz="4" w:space="0"/>
              <w:right w:val="single" w:color="auto" w:sz="4" w:space="0"/>
            </w:tcBorders>
            <w:noWrap/>
            <w:vAlign w:val="center"/>
          </w:tcPr>
          <w:p>
            <w:pPr>
              <w:widowControl/>
              <w:spacing w:line="200" w:lineRule="atLeast"/>
              <w:rPr>
                <w:rFonts w:ascii="宋体" w:hAnsi="宋体" w:cs="宋体"/>
                <w:kern w:val="0"/>
                <w:szCs w:val="21"/>
              </w:rPr>
            </w:pPr>
          </w:p>
        </w:tc>
        <w:tc>
          <w:tcPr>
            <w:tcW w:w="2293"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cs="宋体"/>
                <w:kern w:val="0"/>
                <w:szCs w:val="21"/>
              </w:rPr>
            </w:pPr>
            <w:r>
              <w:rPr>
                <w:rFonts w:hint="eastAsia" w:ascii="宋体" w:hAnsi="宋体" w:eastAsia="宋体" w:cs="宋体"/>
                <w:i w:val="0"/>
                <w:color w:val="000000"/>
                <w:kern w:val="0"/>
                <w:sz w:val="22"/>
                <w:szCs w:val="22"/>
                <w:u w:val="none"/>
                <w:lang w:val="en-US" w:eastAsia="zh-CN" w:bidi="ar"/>
              </w:rPr>
              <w:t>应用俄语</w:t>
            </w:r>
          </w:p>
        </w:tc>
        <w:tc>
          <w:tcPr>
            <w:tcW w:w="388" w:type="dxa"/>
            <w:tcBorders>
              <w:top w:val="single" w:color="auto" w:sz="4" w:space="0"/>
              <w:left w:val="nil"/>
              <w:bottom w:val="single" w:color="auto" w:sz="4" w:space="0"/>
              <w:right w:val="single" w:color="auto" w:sz="4" w:space="0"/>
            </w:tcBorders>
            <w:noWrap/>
            <w:vAlign w:val="center"/>
          </w:tcPr>
          <w:p>
            <w:pPr>
              <w:widowControl/>
              <w:spacing w:line="200" w:lineRule="atLeast"/>
              <w:rPr>
                <w:rFonts w:ascii="宋体" w:hAnsi="宋体" w:cs="宋体"/>
                <w:kern w:val="0"/>
                <w:szCs w:val="21"/>
              </w:rPr>
            </w:pPr>
            <w:r>
              <w:rPr>
                <w:rFonts w:hint="eastAsia" w:ascii="宋体" w:hAnsi="宋体" w:cs="宋体"/>
                <w:kern w:val="0"/>
                <w:szCs w:val="21"/>
              </w:rPr>
              <w:t>3</w:t>
            </w:r>
          </w:p>
        </w:tc>
        <w:tc>
          <w:tcPr>
            <w:tcW w:w="637" w:type="dxa"/>
            <w:tcBorders>
              <w:top w:val="single" w:color="auto" w:sz="4" w:space="0"/>
              <w:left w:val="nil"/>
              <w:bottom w:val="single" w:color="auto" w:sz="4" w:space="0"/>
              <w:right w:val="single" w:color="auto" w:sz="4" w:space="0"/>
            </w:tcBorders>
            <w:noWrap/>
            <w:vAlign w:val="center"/>
          </w:tcPr>
          <w:p>
            <w:pPr>
              <w:widowControl/>
              <w:spacing w:line="200" w:lineRule="atLeast"/>
              <w:rPr>
                <w:rFonts w:ascii="宋体" w:hAnsi="宋体" w:cs="宋体"/>
                <w:kern w:val="0"/>
                <w:szCs w:val="21"/>
              </w:rPr>
            </w:pPr>
            <w:r>
              <w:rPr>
                <w:rFonts w:hint="eastAsia" w:ascii="宋体" w:hAnsi="宋体" w:cs="宋体"/>
                <w:kern w:val="0"/>
                <w:szCs w:val="21"/>
              </w:rPr>
              <w:t>专科</w:t>
            </w:r>
          </w:p>
        </w:tc>
        <w:tc>
          <w:tcPr>
            <w:tcW w:w="1063" w:type="dxa"/>
            <w:tcBorders>
              <w:top w:val="single" w:color="auto" w:sz="4" w:space="0"/>
              <w:left w:val="nil"/>
              <w:bottom w:val="single" w:color="auto" w:sz="4" w:space="0"/>
              <w:right w:val="single" w:color="auto" w:sz="4" w:space="0"/>
            </w:tcBorders>
            <w:noWrap/>
            <w:vAlign w:val="center"/>
          </w:tcPr>
          <w:p>
            <w:pPr>
              <w:widowControl/>
              <w:spacing w:line="200" w:lineRule="atLeast"/>
              <w:rPr>
                <w:rFonts w:hint="default" w:ascii="宋体" w:hAnsi="宋体" w:eastAsia="宋体" w:cs="宋体"/>
                <w:kern w:val="0"/>
                <w:szCs w:val="21"/>
                <w:lang w:val="en-US" w:eastAsia="zh-CN"/>
              </w:rPr>
            </w:pPr>
            <w:r>
              <w:rPr>
                <w:rFonts w:hint="eastAsia" w:ascii="宋体" w:hAnsi="宋体" w:cs="宋体"/>
                <w:kern w:val="0"/>
                <w:szCs w:val="21"/>
                <w:lang w:val="en-US" w:eastAsia="zh-CN"/>
              </w:rPr>
              <w:t>46</w:t>
            </w:r>
          </w:p>
        </w:tc>
        <w:tc>
          <w:tcPr>
            <w:tcW w:w="689" w:type="dxa"/>
            <w:vMerge w:val="continue"/>
            <w:tcBorders>
              <w:top w:val="single" w:color="auto" w:sz="4" w:space="0"/>
              <w:left w:val="nil"/>
              <w:bottom w:val="single" w:color="auto" w:sz="4" w:space="0"/>
              <w:right w:val="single" w:color="auto" w:sz="4" w:space="0"/>
            </w:tcBorders>
            <w:noWrap/>
            <w:vAlign w:val="center"/>
          </w:tcPr>
          <w:p>
            <w:pPr>
              <w:widowControl/>
              <w:spacing w:line="200" w:lineRule="atLeast"/>
              <w:rPr>
                <w:rFonts w:ascii="宋体" w:hAnsi="宋体" w:cs="宋体"/>
                <w:kern w:val="0"/>
                <w:szCs w:val="21"/>
              </w:rPr>
            </w:pPr>
          </w:p>
        </w:tc>
      </w:tr>
      <w:tr>
        <w:tblPrEx>
          <w:tblCellMar>
            <w:top w:w="0" w:type="dxa"/>
            <w:left w:w="108" w:type="dxa"/>
            <w:bottom w:w="0" w:type="dxa"/>
            <w:right w:w="108" w:type="dxa"/>
          </w:tblCellMar>
        </w:tblPrEx>
        <w:trPr>
          <w:trHeight w:val="300" w:hRule="atLeast"/>
          <w:jc w:val="center"/>
        </w:trPr>
        <w:tc>
          <w:tcPr>
            <w:tcW w:w="1266" w:type="dxa"/>
            <w:vMerge w:val="continue"/>
            <w:tcBorders>
              <w:left w:val="single" w:color="auto" w:sz="4" w:space="0"/>
              <w:right w:val="single" w:color="auto" w:sz="4" w:space="0"/>
            </w:tcBorders>
            <w:noWrap/>
            <w:vAlign w:val="center"/>
          </w:tcPr>
          <w:p>
            <w:pPr>
              <w:widowControl/>
              <w:spacing w:line="200" w:lineRule="atLeast"/>
              <w:rPr>
                <w:rFonts w:ascii="宋体" w:hAnsi="宋体" w:cs="宋体"/>
                <w:kern w:val="0"/>
                <w:szCs w:val="21"/>
              </w:rPr>
            </w:pPr>
          </w:p>
        </w:tc>
        <w:tc>
          <w:tcPr>
            <w:tcW w:w="2293"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cs="宋体"/>
                <w:kern w:val="0"/>
                <w:szCs w:val="21"/>
              </w:rPr>
            </w:pPr>
            <w:r>
              <w:rPr>
                <w:rFonts w:hint="eastAsia" w:ascii="宋体" w:hAnsi="宋体" w:eastAsia="宋体" w:cs="宋体"/>
                <w:i w:val="0"/>
                <w:color w:val="000000"/>
                <w:kern w:val="0"/>
                <w:sz w:val="22"/>
                <w:szCs w:val="22"/>
                <w:u w:val="none"/>
                <w:lang w:val="en-US" w:eastAsia="zh-CN" w:bidi="ar"/>
              </w:rPr>
              <w:t>应用法语</w:t>
            </w:r>
          </w:p>
        </w:tc>
        <w:tc>
          <w:tcPr>
            <w:tcW w:w="388" w:type="dxa"/>
            <w:tcBorders>
              <w:top w:val="nil"/>
              <w:left w:val="nil"/>
              <w:bottom w:val="single" w:color="auto" w:sz="4" w:space="0"/>
              <w:right w:val="single" w:color="auto" w:sz="4" w:space="0"/>
            </w:tcBorders>
            <w:noWrap/>
            <w:vAlign w:val="center"/>
          </w:tcPr>
          <w:p>
            <w:pPr>
              <w:widowControl/>
              <w:spacing w:line="200" w:lineRule="atLeast"/>
              <w:rPr>
                <w:rFonts w:ascii="宋体" w:hAnsi="宋体" w:cs="宋体"/>
                <w:kern w:val="0"/>
                <w:szCs w:val="21"/>
              </w:rPr>
            </w:pPr>
            <w:r>
              <w:rPr>
                <w:rFonts w:hint="eastAsia" w:ascii="宋体" w:hAnsi="宋体" w:cs="宋体"/>
                <w:kern w:val="0"/>
                <w:szCs w:val="21"/>
              </w:rPr>
              <w:t>3</w:t>
            </w:r>
          </w:p>
        </w:tc>
        <w:tc>
          <w:tcPr>
            <w:tcW w:w="637" w:type="dxa"/>
            <w:tcBorders>
              <w:top w:val="nil"/>
              <w:left w:val="nil"/>
              <w:bottom w:val="single" w:color="auto" w:sz="4" w:space="0"/>
              <w:right w:val="single" w:color="auto" w:sz="4" w:space="0"/>
            </w:tcBorders>
            <w:noWrap/>
            <w:vAlign w:val="center"/>
          </w:tcPr>
          <w:p>
            <w:pPr>
              <w:widowControl/>
              <w:spacing w:line="200" w:lineRule="atLeast"/>
              <w:rPr>
                <w:rFonts w:ascii="宋体" w:hAnsi="宋体" w:cs="宋体"/>
                <w:kern w:val="0"/>
                <w:szCs w:val="21"/>
              </w:rPr>
            </w:pPr>
            <w:r>
              <w:rPr>
                <w:rFonts w:hint="eastAsia" w:ascii="宋体" w:hAnsi="宋体" w:cs="宋体"/>
                <w:kern w:val="0"/>
                <w:szCs w:val="21"/>
              </w:rPr>
              <w:t>专科</w:t>
            </w:r>
          </w:p>
        </w:tc>
        <w:tc>
          <w:tcPr>
            <w:tcW w:w="1063" w:type="dxa"/>
            <w:tcBorders>
              <w:top w:val="nil"/>
              <w:left w:val="nil"/>
              <w:bottom w:val="single" w:color="auto" w:sz="4" w:space="0"/>
              <w:right w:val="single" w:color="auto" w:sz="4" w:space="0"/>
            </w:tcBorders>
            <w:noWrap/>
            <w:vAlign w:val="center"/>
          </w:tcPr>
          <w:p>
            <w:pPr>
              <w:widowControl/>
              <w:spacing w:line="200" w:lineRule="atLeast"/>
              <w:rPr>
                <w:rFonts w:hint="default" w:ascii="宋体" w:hAnsi="宋体" w:eastAsia="宋体" w:cs="宋体"/>
                <w:kern w:val="0"/>
                <w:szCs w:val="21"/>
                <w:lang w:val="en-US" w:eastAsia="zh-CN"/>
              </w:rPr>
            </w:pPr>
            <w:r>
              <w:rPr>
                <w:rFonts w:hint="eastAsia" w:ascii="宋体" w:hAnsi="宋体" w:cs="宋体"/>
                <w:kern w:val="0"/>
                <w:szCs w:val="21"/>
                <w:lang w:val="en-US" w:eastAsia="zh-CN"/>
              </w:rPr>
              <w:t>26</w:t>
            </w:r>
          </w:p>
        </w:tc>
        <w:tc>
          <w:tcPr>
            <w:tcW w:w="689" w:type="dxa"/>
            <w:vMerge w:val="continue"/>
            <w:tcBorders>
              <w:top w:val="single" w:color="auto" w:sz="4" w:space="0"/>
              <w:left w:val="nil"/>
              <w:bottom w:val="single" w:color="auto" w:sz="4" w:space="0"/>
              <w:right w:val="single" w:color="auto" w:sz="4" w:space="0"/>
            </w:tcBorders>
            <w:noWrap/>
            <w:vAlign w:val="center"/>
          </w:tcPr>
          <w:p>
            <w:pPr>
              <w:widowControl/>
              <w:spacing w:line="200" w:lineRule="atLeast"/>
              <w:rPr>
                <w:rFonts w:ascii="宋体" w:hAnsi="宋体" w:cs="宋体"/>
                <w:kern w:val="0"/>
                <w:szCs w:val="21"/>
              </w:rPr>
            </w:pPr>
          </w:p>
        </w:tc>
      </w:tr>
      <w:tr>
        <w:tblPrEx>
          <w:tblCellMar>
            <w:top w:w="0" w:type="dxa"/>
            <w:left w:w="108" w:type="dxa"/>
            <w:bottom w:w="0" w:type="dxa"/>
            <w:right w:w="108" w:type="dxa"/>
          </w:tblCellMar>
        </w:tblPrEx>
        <w:trPr>
          <w:trHeight w:val="300" w:hRule="atLeast"/>
          <w:jc w:val="center"/>
        </w:trPr>
        <w:tc>
          <w:tcPr>
            <w:tcW w:w="1266" w:type="dxa"/>
            <w:vMerge w:val="continue"/>
            <w:tcBorders>
              <w:left w:val="single" w:color="auto" w:sz="4" w:space="0"/>
              <w:right w:val="single" w:color="auto" w:sz="4" w:space="0"/>
            </w:tcBorders>
            <w:noWrap/>
            <w:vAlign w:val="center"/>
          </w:tcPr>
          <w:p>
            <w:pPr>
              <w:widowControl/>
              <w:spacing w:line="200" w:lineRule="atLeast"/>
              <w:rPr>
                <w:rFonts w:ascii="宋体" w:hAnsi="宋体" w:cs="宋体"/>
                <w:kern w:val="0"/>
                <w:szCs w:val="21"/>
              </w:rPr>
            </w:pPr>
          </w:p>
        </w:tc>
        <w:tc>
          <w:tcPr>
            <w:tcW w:w="2293" w:type="dxa"/>
            <w:tcBorders>
              <w:top w:val="nil"/>
              <w:left w:val="nil"/>
              <w:bottom w:val="single" w:color="auto" w:sz="4" w:space="0"/>
              <w:right w:val="single" w:color="auto" w:sz="4" w:space="0"/>
            </w:tcBorders>
            <w:noWrap/>
            <w:vAlign w:val="center"/>
          </w:tcPr>
          <w:p>
            <w:pPr>
              <w:widowControl/>
              <w:spacing w:line="200" w:lineRule="atLeast"/>
              <w:rPr>
                <w:rFonts w:ascii="宋体" w:hAnsi="宋体" w:cs="宋体"/>
                <w:kern w:val="0"/>
                <w:szCs w:val="21"/>
              </w:rPr>
            </w:pPr>
            <w:r>
              <w:rPr>
                <w:rFonts w:hint="eastAsia" w:ascii="宋体" w:hAnsi="宋体" w:cs="宋体"/>
                <w:kern w:val="0"/>
                <w:szCs w:val="21"/>
              </w:rPr>
              <w:t>应用葡萄牙语</w:t>
            </w:r>
          </w:p>
        </w:tc>
        <w:tc>
          <w:tcPr>
            <w:tcW w:w="388" w:type="dxa"/>
            <w:tcBorders>
              <w:top w:val="nil"/>
              <w:left w:val="nil"/>
              <w:bottom w:val="single" w:color="auto" w:sz="4" w:space="0"/>
              <w:right w:val="single" w:color="auto" w:sz="4" w:space="0"/>
            </w:tcBorders>
            <w:noWrap/>
            <w:vAlign w:val="center"/>
          </w:tcPr>
          <w:p>
            <w:pPr>
              <w:widowControl/>
              <w:spacing w:line="200" w:lineRule="atLeast"/>
              <w:rPr>
                <w:rFonts w:ascii="宋体" w:hAnsi="宋体" w:cs="宋体"/>
                <w:kern w:val="0"/>
                <w:szCs w:val="21"/>
              </w:rPr>
            </w:pPr>
            <w:r>
              <w:rPr>
                <w:rFonts w:hint="eastAsia" w:ascii="宋体" w:hAnsi="宋体" w:cs="宋体"/>
                <w:kern w:val="0"/>
                <w:szCs w:val="21"/>
              </w:rPr>
              <w:t>3</w:t>
            </w:r>
          </w:p>
        </w:tc>
        <w:tc>
          <w:tcPr>
            <w:tcW w:w="637" w:type="dxa"/>
            <w:tcBorders>
              <w:top w:val="nil"/>
              <w:left w:val="nil"/>
              <w:bottom w:val="single" w:color="auto" w:sz="4" w:space="0"/>
              <w:right w:val="single" w:color="auto" w:sz="4" w:space="0"/>
            </w:tcBorders>
            <w:noWrap/>
            <w:vAlign w:val="center"/>
          </w:tcPr>
          <w:p>
            <w:pPr>
              <w:widowControl/>
              <w:spacing w:line="200" w:lineRule="atLeast"/>
              <w:rPr>
                <w:rFonts w:ascii="宋体" w:hAnsi="宋体" w:cs="宋体"/>
                <w:kern w:val="0"/>
                <w:szCs w:val="21"/>
              </w:rPr>
            </w:pPr>
            <w:r>
              <w:rPr>
                <w:rFonts w:hint="eastAsia" w:ascii="宋体" w:hAnsi="宋体" w:cs="宋体"/>
                <w:kern w:val="0"/>
                <w:szCs w:val="21"/>
              </w:rPr>
              <w:t>专科</w:t>
            </w:r>
          </w:p>
        </w:tc>
        <w:tc>
          <w:tcPr>
            <w:tcW w:w="1063" w:type="dxa"/>
            <w:tcBorders>
              <w:top w:val="nil"/>
              <w:left w:val="nil"/>
              <w:bottom w:val="single" w:color="auto" w:sz="4" w:space="0"/>
              <w:right w:val="single" w:color="auto" w:sz="4" w:space="0"/>
            </w:tcBorders>
            <w:noWrap/>
            <w:vAlign w:val="center"/>
          </w:tcPr>
          <w:p>
            <w:pPr>
              <w:widowControl/>
              <w:spacing w:line="200" w:lineRule="atLeast"/>
              <w:rPr>
                <w:rFonts w:hint="eastAsia" w:ascii="宋体" w:hAnsi="宋体" w:eastAsia="宋体" w:cs="宋体"/>
                <w:kern w:val="0"/>
                <w:szCs w:val="21"/>
                <w:lang w:val="en-US" w:eastAsia="zh-CN"/>
              </w:rPr>
            </w:pPr>
            <w:r>
              <w:rPr>
                <w:rFonts w:hint="eastAsia" w:ascii="宋体" w:hAnsi="宋体" w:cs="宋体"/>
                <w:kern w:val="0"/>
                <w:szCs w:val="21"/>
                <w:lang w:val="en-US" w:eastAsia="zh-CN"/>
              </w:rPr>
              <w:t>1</w:t>
            </w:r>
          </w:p>
        </w:tc>
        <w:tc>
          <w:tcPr>
            <w:tcW w:w="689" w:type="dxa"/>
            <w:vMerge w:val="continue"/>
            <w:tcBorders>
              <w:top w:val="single" w:color="auto" w:sz="4" w:space="0"/>
              <w:left w:val="nil"/>
              <w:bottom w:val="single" w:color="auto" w:sz="4" w:space="0"/>
              <w:right w:val="single" w:color="auto" w:sz="4" w:space="0"/>
            </w:tcBorders>
            <w:noWrap/>
            <w:vAlign w:val="center"/>
          </w:tcPr>
          <w:p>
            <w:pPr>
              <w:widowControl/>
              <w:spacing w:line="200" w:lineRule="atLeast"/>
              <w:rPr>
                <w:rFonts w:ascii="宋体" w:hAnsi="宋体" w:cs="宋体"/>
                <w:kern w:val="0"/>
                <w:szCs w:val="21"/>
              </w:rPr>
            </w:pPr>
          </w:p>
        </w:tc>
      </w:tr>
      <w:tr>
        <w:tblPrEx>
          <w:tblCellMar>
            <w:top w:w="0" w:type="dxa"/>
            <w:left w:w="108" w:type="dxa"/>
            <w:bottom w:w="0" w:type="dxa"/>
            <w:right w:w="108" w:type="dxa"/>
          </w:tblCellMar>
        </w:tblPrEx>
        <w:trPr>
          <w:trHeight w:val="172" w:hRule="atLeast"/>
          <w:jc w:val="center"/>
        </w:trPr>
        <w:tc>
          <w:tcPr>
            <w:tcW w:w="1266" w:type="dxa"/>
            <w:vMerge w:val="continue"/>
            <w:tcBorders>
              <w:left w:val="single" w:color="auto" w:sz="4" w:space="0"/>
              <w:bottom w:val="single" w:color="000000" w:sz="4" w:space="0"/>
              <w:right w:val="single" w:color="auto" w:sz="4" w:space="0"/>
            </w:tcBorders>
            <w:noWrap/>
            <w:vAlign w:val="center"/>
          </w:tcPr>
          <w:p>
            <w:pPr>
              <w:widowControl/>
              <w:spacing w:line="200" w:lineRule="atLeast"/>
              <w:rPr>
                <w:rFonts w:ascii="宋体" w:hAnsi="宋体" w:cs="宋体"/>
                <w:kern w:val="0"/>
                <w:szCs w:val="21"/>
              </w:rPr>
            </w:pPr>
          </w:p>
        </w:tc>
        <w:tc>
          <w:tcPr>
            <w:tcW w:w="2293"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cs="宋体"/>
                <w:kern w:val="0"/>
                <w:szCs w:val="21"/>
              </w:rPr>
            </w:pPr>
            <w:r>
              <w:rPr>
                <w:rFonts w:hint="eastAsia" w:ascii="宋体" w:hAnsi="宋体" w:eastAsia="宋体" w:cs="宋体"/>
                <w:i w:val="0"/>
                <w:color w:val="000000"/>
                <w:kern w:val="0"/>
                <w:sz w:val="22"/>
                <w:szCs w:val="22"/>
                <w:u w:val="none"/>
                <w:lang w:val="en-US" w:eastAsia="zh-CN" w:bidi="ar"/>
              </w:rPr>
              <w:t>应用外语</w:t>
            </w:r>
          </w:p>
        </w:tc>
        <w:tc>
          <w:tcPr>
            <w:tcW w:w="388" w:type="dxa"/>
            <w:tcBorders>
              <w:top w:val="nil"/>
              <w:left w:val="nil"/>
              <w:bottom w:val="single" w:color="auto" w:sz="4" w:space="0"/>
              <w:right w:val="single" w:color="auto" w:sz="4" w:space="0"/>
            </w:tcBorders>
            <w:noWrap/>
            <w:vAlign w:val="center"/>
          </w:tcPr>
          <w:p>
            <w:pPr>
              <w:widowControl/>
              <w:spacing w:line="200" w:lineRule="atLeast"/>
              <w:rPr>
                <w:rFonts w:ascii="宋体" w:hAnsi="宋体" w:cs="宋体"/>
                <w:kern w:val="0"/>
                <w:szCs w:val="21"/>
              </w:rPr>
            </w:pPr>
            <w:r>
              <w:rPr>
                <w:rFonts w:hint="eastAsia" w:ascii="宋体" w:hAnsi="宋体" w:cs="宋体"/>
                <w:kern w:val="0"/>
                <w:szCs w:val="21"/>
              </w:rPr>
              <w:t>3</w:t>
            </w:r>
          </w:p>
        </w:tc>
        <w:tc>
          <w:tcPr>
            <w:tcW w:w="637" w:type="dxa"/>
            <w:tcBorders>
              <w:top w:val="nil"/>
              <w:left w:val="nil"/>
              <w:bottom w:val="single" w:color="auto" w:sz="4" w:space="0"/>
              <w:right w:val="single" w:color="auto" w:sz="4" w:space="0"/>
            </w:tcBorders>
            <w:noWrap/>
            <w:vAlign w:val="center"/>
          </w:tcPr>
          <w:p>
            <w:pPr>
              <w:widowControl/>
              <w:spacing w:line="200" w:lineRule="atLeast"/>
              <w:rPr>
                <w:rFonts w:ascii="宋体" w:hAnsi="宋体" w:cs="宋体"/>
                <w:kern w:val="0"/>
                <w:szCs w:val="21"/>
              </w:rPr>
            </w:pPr>
            <w:r>
              <w:rPr>
                <w:rFonts w:hint="eastAsia" w:ascii="宋体" w:hAnsi="宋体" w:cs="宋体"/>
                <w:kern w:val="0"/>
                <w:szCs w:val="21"/>
              </w:rPr>
              <w:t>专科</w:t>
            </w:r>
          </w:p>
        </w:tc>
        <w:tc>
          <w:tcPr>
            <w:tcW w:w="1063" w:type="dxa"/>
            <w:tcBorders>
              <w:top w:val="nil"/>
              <w:left w:val="nil"/>
              <w:bottom w:val="single" w:color="auto" w:sz="4" w:space="0"/>
              <w:right w:val="single" w:color="auto" w:sz="4" w:space="0"/>
            </w:tcBorders>
            <w:noWrap/>
            <w:vAlign w:val="center"/>
          </w:tcPr>
          <w:p>
            <w:pPr>
              <w:widowControl/>
              <w:spacing w:line="200" w:lineRule="atLeast"/>
              <w:rPr>
                <w:rFonts w:hint="default" w:ascii="宋体" w:hAnsi="宋体" w:eastAsia="宋体" w:cs="宋体"/>
                <w:kern w:val="0"/>
                <w:szCs w:val="21"/>
                <w:lang w:val="en-US" w:eastAsia="zh-CN"/>
              </w:rPr>
            </w:pPr>
            <w:r>
              <w:rPr>
                <w:rFonts w:hint="eastAsia" w:ascii="宋体" w:hAnsi="宋体" w:cs="宋体"/>
                <w:kern w:val="0"/>
                <w:szCs w:val="21"/>
                <w:lang w:val="en-US" w:eastAsia="zh-CN"/>
              </w:rPr>
              <w:t>10</w:t>
            </w:r>
          </w:p>
        </w:tc>
        <w:tc>
          <w:tcPr>
            <w:tcW w:w="689" w:type="dxa"/>
            <w:vMerge w:val="continue"/>
            <w:tcBorders>
              <w:top w:val="single" w:color="auto" w:sz="4" w:space="0"/>
              <w:left w:val="nil"/>
              <w:bottom w:val="single" w:color="auto" w:sz="4" w:space="0"/>
              <w:right w:val="single" w:color="auto" w:sz="4" w:space="0"/>
            </w:tcBorders>
            <w:noWrap/>
            <w:vAlign w:val="center"/>
          </w:tcPr>
          <w:p>
            <w:pPr>
              <w:widowControl/>
              <w:spacing w:line="200" w:lineRule="atLeast"/>
              <w:rPr>
                <w:rFonts w:ascii="宋体" w:hAnsi="宋体" w:cs="宋体"/>
                <w:kern w:val="0"/>
                <w:szCs w:val="21"/>
              </w:rPr>
            </w:pPr>
          </w:p>
        </w:tc>
      </w:tr>
      <w:tr>
        <w:tblPrEx>
          <w:tblCellMar>
            <w:top w:w="0" w:type="dxa"/>
            <w:left w:w="108" w:type="dxa"/>
            <w:bottom w:w="0" w:type="dxa"/>
            <w:right w:w="108" w:type="dxa"/>
          </w:tblCellMar>
        </w:tblPrEx>
        <w:trPr>
          <w:trHeight w:val="123" w:hRule="atLeast"/>
          <w:jc w:val="center"/>
        </w:trPr>
        <w:tc>
          <w:tcPr>
            <w:tcW w:w="1266" w:type="dxa"/>
            <w:vMerge w:val="continue"/>
            <w:tcBorders>
              <w:left w:val="single" w:color="auto" w:sz="4" w:space="0"/>
              <w:bottom w:val="single" w:color="000000" w:sz="4" w:space="0"/>
              <w:right w:val="single" w:color="auto" w:sz="4" w:space="0"/>
            </w:tcBorders>
            <w:noWrap/>
            <w:vAlign w:val="center"/>
          </w:tcPr>
          <w:p>
            <w:pPr>
              <w:widowControl/>
              <w:spacing w:line="200" w:lineRule="atLeast"/>
              <w:rPr>
                <w:rFonts w:ascii="宋体" w:hAnsi="宋体" w:cs="宋体"/>
                <w:kern w:val="0"/>
                <w:szCs w:val="21"/>
              </w:rPr>
            </w:pPr>
          </w:p>
        </w:tc>
        <w:tc>
          <w:tcPr>
            <w:tcW w:w="2293"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应用西班牙语</w:t>
            </w:r>
          </w:p>
        </w:tc>
        <w:tc>
          <w:tcPr>
            <w:tcW w:w="388" w:type="dxa"/>
            <w:tcBorders>
              <w:top w:val="single" w:color="auto" w:sz="4" w:space="0"/>
              <w:left w:val="nil"/>
              <w:bottom w:val="single" w:color="auto" w:sz="4" w:space="0"/>
              <w:right w:val="single" w:color="auto" w:sz="4" w:space="0"/>
            </w:tcBorders>
            <w:noWrap/>
            <w:vAlign w:val="center"/>
          </w:tcPr>
          <w:p>
            <w:pPr>
              <w:widowControl/>
              <w:spacing w:line="200" w:lineRule="atLeast"/>
              <w:rPr>
                <w:rFonts w:hint="eastAsia" w:ascii="宋体" w:hAnsi="宋体" w:eastAsia="宋体" w:cs="宋体"/>
                <w:kern w:val="0"/>
                <w:szCs w:val="21"/>
                <w:lang w:val="en-US" w:eastAsia="zh-CN"/>
              </w:rPr>
            </w:pPr>
            <w:r>
              <w:rPr>
                <w:rFonts w:hint="eastAsia" w:ascii="宋体" w:hAnsi="宋体" w:cs="宋体"/>
                <w:kern w:val="0"/>
                <w:szCs w:val="21"/>
                <w:lang w:val="en-US" w:eastAsia="zh-CN"/>
              </w:rPr>
              <w:t>3</w:t>
            </w:r>
          </w:p>
        </w:tc>
        <w:tc>
          <w:tcPr>
            <w:tcW w:w="637" w:type="dxa"/>
            <w:tcBorders>
              <w:top w:val="single" w:color="auto" w:sz="4" w:space="0"/>
              <w:left w:val="nil"/>
              <w:bottom w:val="single" w:color="auto" w:sz="4" w:space="0"/>
              <w:right w:val="single" w:color="auto" w:sz="4" w:space="0"/>
            </w:tcBorders>
            <w:noWrap/>
            <w:vAlign w:val="center"/>
          </w:tcPr>
          <w:p>
            <w:pPr>
              <w:widowControl/>
              <w:spacing w:line="200" w:lineRule="atLeast"/>
              <w:rPr>
                <w:rFonts w:hint="eastAsia" w:ascii="宋体" w:hAnsi="宋体" w:cs="宋体"/>
                <w:kern w:val="0"/>
                <w:szCs w:val="21"/>
              </w:rPr>
            </w:pPr>
            <w:r>
              <w:rPr>
                <w:rFonts w:hint="eastAsia" w:ascii="宋体" w:hAnsi="宋体" w:cs="宋体"/>
                <w:kern w:val="0"/>
                <w:szCs w:val="21"/>
              </w:rPr>
              <w:t>专科</w:t>
            </w:r>
          </w:p>
        </w:tc>
        <w:tc>
          <w:tcPr>
            <w:tcW w:w="1063" w:type="dxa"/>
            <w:tcBorders>
              <w:top w:val="single" w:color="auto" w:sz="4" w:space="0"/>
              <w:left w:val="nil"/>
              <w:bottom w:val="single" w:color="auto" w:sz="4" w:space="0"/>
              <w:right w:val="single" w:color="auto" w:sz="4" w:space="0"/>
            </w:tcBorders>
            <w:noWrap/>
            <w:vAlign w:val="center"/>
          </w:tcPr>
          <w:p>
            <w:pPr>
              <w:widowControl/>
              <w:spacing w:line="200" w:lineRule="atLeast"/>
              <w:rPr>
                <w:rFonts w:hint="default" w:ascii="宋体" w:hAnsi="宋体" w:cs="宋体"/>
                <w:kern w:val="0"/>
                <w:szCs w:val="21"/>
                <w:lang w:val="en-US" w:eastAsia="zh-CN"/>
              </w:rPr>
            </w:pPr>
            <w:r>
              <w:rPr>
                <w:rFonts w:hint="eastAsia" w:ascii="宋体" w:hAnsi="宋体" w:cs="宋体"/>
                <w:kern w:val="0"/>
                <w:szCs w:val="21"/>
                <w:lang w:val="en-US" w:eastAsia="zh-CN"/>
              </w:rPr>
              <w:t>34</w:t>
            </w:r>
          </w:p>
        </w:tc>
        <w:tc>
          <w:tcPr>
            <w:tcW w:w="689" w:type="dxa"/>
            <w:vMerge w:val="continue"/>
            <w:tcBorders>
              <w:left w:val="nil"/>
              <w:bottom w:val="single" w:color="auto" w:sz="4" w:space="0"/>
              <w:right w:val="single" w:color="auto" w:sz="4" w:space="0"/>
            </w:tcBorders>
            <w:noWrap/>
            <w:vAlign w:val="center"/>
          </w:tcPr>
          <w:p>
            <w:pPr>
              <w:widowControl/>
              <w:spacing w:line="200" w:lineRule="atLeast"/>
              <w:rPr>
                <w:rFonts w:ascii="宋体" w:hAnsi="宋体" w:cs="宋体"/>
                <w:kern w:val="0"/>
                <w:szCs w:val="21"/>
              </w:rPr>
            </w:pPr>
          </w:p>
        </w:tc>
      </w:tr>
      <w:tr>
        <w:tblPrEx>
          <w:tblCellMar>
            <w:top w:w="0" w:type="dxa"/>
            <w:left w:w="108" w:type="dxa"/>
            <w:bottom w:w="0" w:type="dxa"/>
            <w:right w:w="108" w:type="dxa"/>
          </w:tblCellMar>
        </w:tblPrEx>
        <w:trPr>
          <w:trHeight w:val="175" w:hRule="atLeast"/>
          <w:jc w:val="center"/>
        </w:trPr>
        <w:tc>
          <w:tcPr>
            <w:tcW w:w="1266" w:type="dxa"/>
            <w:vMerge w:val="restart"/>
            <w:tcBorders>
              <w:top w:val="nil"/>
              <w:left w:val="single" w:color="auto" w:sz="4" w:space="0"/>
              <w:right w:val="single" w:color="auto" w:sz="4" w:space="0"/>
            </w:tcBorders>
            <w:noWrap/>
            <w:vAlign w:val="center"/>
          </w:tcPr>
          <w:p>
            <w:pPr>
              <w:widowControl/>
              <w:spacing w:line="200" w:lineRule="atLeast"/>
              <w:rPr>
                <w:rFonts w:ascii="宋体" w:hAnsi="宋体" w:cs="宋体"/>
                <w:kern w:val="0"/>
                <w:szCs w:val="21"/>
              </w:rPr>
            </w:pPr>
          </w:p>
          <w:p>
            <w:pPr>
              <w:widowControl/>
              <w:spacing w:line="200" w:lineRule="atLeast"/>
              <w:rPr>
                <w:rFonts w:ascii="宋体" w:hAnsi="宋体" w:cs="宋体"/>
                <w:kern w:val="0"/>
                <w:szCs w:val="21"/>
              </w:rPr>
            </w:pPr>
          </w:p>
          <w:p>
            <w:pPr>
              <w:widowControl/>
              <w:spacing w:line="200" w:lineRule="atLeast"/>
              <w:rPr>
                <w:rFonts w:ascii="宋体" w:hAnsi="宋体" w:cs="宋体"/>
                <w:kern w:val="0"/>
                <w:szCs w:val="21"/>
              </w:rPr>
            </w:pPr>
            <w:r>
              <w:rPr>
                <w:rFonts w:hint="eastAsia" w:ascii="宋体" w:hAnsi="宋体" w:cs="宋体"/>
                <w:kern w:val="0"/>
                <w:szCs w:val="21"/>
              </w:rPr>
              <w:t>旅游系</w:t>
            </w:r>
          </w:p>
          <w:p>
            <w:pPr>
              <w:widowControl/>
              <w:spacing w:line="200" w:lineRule="atLeast"/>
              <w:rPr>
                <w:rFonts w:ascii="宋体" w:hAnsi="宋体" w:cs="宋体"/>
                <w:kern w:val="0"/>
                <w:szCs w:val="21"/>
              </w:rPr>
            </w:pPr>
          </w:p>
          <w:p>
            <w:pPr>
              <w:widowControl/>
              <w:spacing w:line="200" w:lineRule="atLeast"/>
              <w:rPr>
                <w:rFonts w:ascii="宋体" w:hAnsi="宋体" w:cs="宋体"/>
                <w:kern w:val="0"/>
                <w:szCs w:val="21"/>
              </w:rPr>
            </w:pPr>
          </w:p>
        </w:tc>
        <w:tc>
          <w:tcPr>
            <w:tcW w:w="2293"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cs="宋体"/>
                <w:kern w:val="0"/>
                <w:szCs w:val="21"/>
              </w:rPr>
            </w:pPr>
            <w:r>
              <w:rPr>
                <w:rFonts w:hint="eastAsia" w:ascii="宋体" w:hAnsi="宋体" w:eastAsia="宋体" w:cs="宋体"/>
                <w:i w:val="0"/>
                <w:color w:val="000000"/>
                <w:kern w:val="0"/>
                <w:sz w:val="22"/>
                <w:szCs w:val="22"/>
                <w:u w:val="none"/>
                <w:lang w:val="en-US" w:eastAsia="zh-CN" w:bidi="ar"/>
              </w:rPr>
              <w:t>会展策划与管理</w:t>
            </w:r>
          </w:p>
        </w:tc>
        <w:tc>
          <w:tcPr>
            <w:tcW w:w="388" w:type="dxa"/>
            <w:tcBorders>
              <w:top w:val="nil"/>
              <w:left w:val="nil"/>
              <w:bottom w:val="single" w:color="auto" w:sz="4" w:space="0"/>
              <w:right w:val="single" w:color="auto" w:sz="4" w:space="0"/>
            </w:tcBorders>
            <w:noWrap/>
            <w:vAlign w:val="center"/>
          </w:tcPr>
          <w:p>
            <w:pPr>
              <w:widowControl/>
              <w:spacing w:line="200" w:lineRule="atLeast"/>
              <w:rPr>
                <w:rFonts w:ascii="宋体" w:hAnsi="宋体" w:cs="宋体"/>
                <w:kern w:val="0"/>
                <w:szCs w:val="21"/>
              </w:rPr>
            </w:pPr>
            <w:r>
              <w:rPr>
                <w:rFonts w:hint="eastAsia" w:ascii="宋体" w:hAnsi="宋体" w:cs="宋体"/>
                <w:kern w:val="0"/>
                <w:szCs w:val="21"/>
              </w:rPr>
              <w:t>3</w:t>
            </w:r>
          </w:p>
        </w:tc>
        <w:tc>
          <w:tcPr>
            <w:tcW w:w="637" w:type="dxa"/>
            <w:tcBorders>
              <w:top w:val="nil"/>
              <w:left w:val="nil"/>
              <w:bottom w:val="single" w:color="auto" w:sz="4" w:space="0"/>
              <w:right w:val="single" w:color="auto" w:sz="4" w:space="0"/>
            </w:tcBorders>
            <w:noWrap/>
            <w:vAlign w:val="center"/>
          </w:tcPr>
          <w:p>
            <w:pPr>
              <w:widowControl/>
              <w:spacing w:line="200" w:lineRule="atLeast"/>
              <w:rPr>
                <w:rFonts w:ascii="宋体" w:hAnsi="宋体" w:cs="宋体"/>
                <w:kern w:val="0"/>
                <w:szCs w:val="21"/>
              </w:rPr>
            </w:pPr>
            <w:r>
              <w:rPr>
                <w:rFonts w:hint="eastAsia" w:ascii="宋体" w:hAnsi="宋体" w:cs="宋体"/>
                <w:kern w:val="0"/>
                <w:szCs w:val="21"/>
              </w:rPr>
              <w:t>专科</w:t>
            </w:r>
          </w:p>
        </w:tc>
        <w:tc>
          <w:tcPr>
            <w:tcW w:w="1063" w:type="dxa"/>
            <w:tcBorders>
              <w:top w:val="nil"/>
              <w:left w:val="nil"/>
              <w:bottom w:val="single" w:color="auto" w:sz="4" w:space="0"/>
              <w:right w:val="single" w:color="auto" w:sz="4" w:space="0"/>
            </w:tcBorders>
            <w:noWrap/>
            <w:vAlign w:val="center"/>
          </w:tcPr>
          <w:p>
            <w:pPr>
              <w:widowControl/>
              <w:spacing w:line="200" w:lineRule="atLeast"/>
              <w:rPr>
                <w:rFonts w:hint="eastAsia" w:ascii="宋体" w:hAnsi="宋体" w:eastAsia="宋体" w:cs="宋体"/>
                <w:kern w:val="0"/>
                <w:szCs w:val="21"/>
                <w:lang w:eastAsia="zh-CN"/>
              </w:rPr>
            </w:pPr>
            <w:r>
              <w:rPr>
                <w:rFonts w:hint="eastAsia" w:ascii="宋体" w:hAnsi="宋体" w:cs="宋体"/>
                <w:kern w:val="0"/>
                <w:szCs w:val="21"/>
              </w:rPr>
              <w:t>2</w:t>
            </w:r>
            <w:r>
              <w:rPr>
                <w:rFonts w:hint="eastAsia" w:ascii="宋体" w:hAnsi="宋体" w:cs="宋体"/>
                <w:kern w:val="0"/>
                <w:szCs w:val="21"/>
                <w:lang w:val="en-US" w:eastAsia="zh-CN"/>
              </w:rPr>
              <w:t>6</w:t>
            </w:r>
          </w:p>
        </w:tc>
        <w:tc>
          <w:tcPr>
            <w:tcW w:w="689" w:type="dxa"/>
            <w:vMerge w:val="restart"/>
            <w:tcBorders>
              <w:top w:val="single" w:color="auto" w:sz="4" w:space="0"/>
              <w:left w:val="nil"/>
              <w:bottom w:val="single" w:color="auto" w:sz="4" w:space="0"/>
              <w:right w:val="single" w:color="auto" w:sz="4" w:space="0"/>
            </w:tcBorders>
            <w:noWrap/>
            <w:vAlign w:val="center"/>
          </w:tcPr>
          <w:p>
            <w:pPr>
              <w:widowControl/>
              <w:spacing w:line="200" w:lineRule="atLeast"/>
              <w:rPr>
                <w:rFonts w:hint="default" w:ascii="宋体" w:hAnsi="宋体" w:eastAsia="宋体" w:cs="宋体"/>
                <w:kern w:val="0"/>
                <w:szCs w:val="21"/>
                <w:lang w:val="en-US" w:eastAsia="zh-CN"/>
              </w:rPr>
            </w:pPr>
            <w:r>
              <w:rPr>
                <w:rFonts w:hint="eastAsia" w:ascii="宋体" w:hAnsi="宋体" w:cs="宋体"/>
                <w:kern w:val="0"/>
                <w:szCs w:val="21"/>
                <w:lang w:val="en-US" w:eastAsia="zh-CN"/>
              </w:rPr>
              <w:t>747</w:t>
            </w:r>
          </w:p>
        </w:tc>
      </w:tr>
      <w:tr>
        <w:tblPrEx>
          <w:tblCellMar>
            <w:top w:w="0" w:type="dxa"/>
            <w:left w:w="108" w:type="dxa"/>
            <w:bottom w:w="0" w:type="dxa"/>
            <w:right w:w="108" w:type="dxa"/>
          </w:tblCellMar>
        </w:tblPrEx>
        <w:trPr>
          <w:trHeight w:val="280" w:hRule="atLeast"/>
          <w:jc w:val="center"/>
        </w:trPr>
        <w:tc>
          <w:tcPr>
            <w:tcW w:w="1266" w:type="dxa"/>
            <w:vMerge w:val="continue"/>
            <w:tcBorders>
              <w:left w:val="single" w:color="auto" w:sz="4" w:space="0"/>
              <w:right w:val="single" w:color="auto" w:sz="4" w:space="0"/>
            </w:tcBorders>
            <w:noWrap/>
            <w:vAlign w:val="center"/>
          </w:tcPr>
          <w:p>
            <w:pPr>
              <w:widowControl/>
              <w:spacing w:line="200" w:lineRule="atLeast"/>
              <w:rPr>
                <w:rFonts w:ascii="宋体" w:hAnsi="宋体" w:cs="宋体"/>
                <w:kern w:val="0"/>
                <w:szCs w:val="21"/>
              </w:rPr>
            </w:pPr>
          </w:p>
        </w:tc>
        <w:tc>
          <w:tcPr>
            <w:tcW w:w="2293"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cs="宋体"/>
                <w:kern w:val="0"/>
                <w:szCs w:val="21"/>
              </w:rPr>
            </w:pPr>
            <w:r>
              <w:rPr>
                <w:rFonts w:hint="eastAsia" w:ascii="宋体" w:hAnsi="宋体" w:eastAsia="宋体" w:cs="宋体"/>
                <w:i w:val="0"/>
                <w:color w:val="000000"/>
                <w:kern w:val="0"/>
                <w:sz w:val="22"/>
                <w:szCs w:val="22"/>
                <w:u w:val="none"/>
                <w:lang w:val="en-US" w:eastAsia="zh-CN" w:bidi="ar"/>
              </w:rPr>
              <w:t>酒店管理</w:t>
            </w:r>
          </w:p>
        </w:tc>
        <w:tc>
          <w:tcPr>
            <w:tcW w:w="388" w:type="dxa"/>
            <w:tcBorders>
              <w:top w:val="nil"/>
              <w:left w:val="nil"/>
              <w:bottom w:val="single" w:color="auto" w:sz="4" w:space="0"/>
              <w:right w:val="single" w:color="auto" w:sz="4" w:space="0"/>
            </w:tcBorders>
            <w:noWrap/>
            <w:vAlign w:val="center"/>
          </w:tcPr>
          <w:p>
            <w:pPr>
              <w:widowControl/>
              <w:spacing w:line="200" w:lineRule="atLeast"/>
              <w:rPr>
                <w:rFonts w:hint="eastAsia" w:ascii="宋体" w:hAnsi="宋体" w:eastAsia="宋体" w:cs="宋体"/>
                <w:kern w:val="0"/>
                <w:szCs w:val="21"/>
                <w:lang w:eastAsia="zh-CN"/>
              </w:rPr>
            </w:pPr>
            <w:r>
              <w:rPr>
                <w:rFonts w:hint="eastAsia" w:ascii="宋体" w:hAnsi="宋体" w:cs="宋体"/>
                <w:kern w:val="0"/>
                <w:szCs w:val="21"/>
                <w:lang w:val="en-US" w:eastAsia="zh-CN"/>
              </w:rPr>
              <w:t>2</w:t>
            </w:r>
          </w:p>
        </w:tc>
        <w:tc>
          <w:tcPr>
            <w:tcW w:w="637" w:type="dxa"/>
            <w:tcBorders>
              <w:top w:val="nil"/>
              <w:left w:val="nil"/>
              <w:bottom w:val="single" w:color="auto" w:sz="4" w:space="0"/>
              <w:right w:val="single" w:color="auto" w:sz="4" w:space="0"/>
            </w:tcBorders>
            <w:noWrap/>
            <w:vAlign w:val="center"/>
          </w:tcPr>
          <w:p>
            <w:pPr>
              <w:widowControl/>
              <w:spacing w:line="200" w:lineRule="atLeast"/>
              <w:rPr>
                <w:rFonts w:ascii="宋体" w:hAnsi="宋体" w:cs="宋体"/>
                <w:kern w:val="0"/>
                <w:szCs w:val="21"/>
              </w:rPr>
            </w:pPr>
            <w:r>
              <w:rPr>
                <w:rFonts w:hint="eastAsia" w:ascii="宋体" w:hAnsi="宋体" w:cs="宋体"/>
                <w:kern w:val="0"/>
                <w:szCs w:val="21"/>
              </w:rPr>
              <w:t>专科</w:t>
            </w:r>
          </w:p>
        </w:tc>
        <w:tc>
          <w:tcPr>
            <w:tcW w:w="1063" w:type="dxa"/>
            <w:tcBorders>
              <w:top w:val="nil"/>
              <w:left w:val="nil"/>
              <w:bottom w:val="single" w:color="auto" w:sz="4" w:space="0"/>
              <w:right w:val="single" w:color="auto" w:sz="4" w:space="0"/>
            </w:tcBorders>
            <w:noWrap/>
            <w:vAlign w:val="center"/>
          </w:tcPr>
          <w:p>
            <w:pPr>
              <w:widowControl/>
              <w:spacing w:line="200" w:lineRule="atLeast"/>
              <w:rPr>
                <w:rFonts w:hint="default" w:ascii="宋体" w:hAnsi="宋体" w:eastAsia="宋体" w:cs="宋体"/>
                <w:kern w:val="0"/>
                <w:szCs w:val="21"/>
                <w:lang w:val="en-US" w:eastAsia="zh-CN"/>
              </w:rPr>
            </w:pPr>
            <w:r>
              <w:rPr>
                <w:rFonts w:hint="eastAsia" w:ascii="宋体" w:hAnsi="宋体" w:cs="宋体"/>
                <w:kern w:val="0"/>
                <w:szCs w:val="21"/>
                <w:lang w:val="en-US" w:eastAsia="zh-CN"/>
              </w:rPr>
              <w:t>223</w:t>
            </w:r>
          </w:p>
        </w:tc>
        <w:tc>
          <w:tcPr>
            <w:tcW w:w="689" w:type="dxa"/>
            <w:vMerge w:val="continue"/>
            <w:tcBorders>
              <w:top w:val="single" w:color="auto" w:sz="4" w:space="0"/>
              <w:left w:val="nil"/>
              <w:bottom w:val="single" w:color="auto" w:sz="4" w:space="0"/>
              <w:right w:val="single" w:color="auto" w:sz="4" w:space="0"/>
            </w:tcBorders>
            <w:noWrap/>
            <w:vAlign w:val="center"/>
          </w:tcPr>
          <w:p>
            <w:pPr>
              <w:widowControl/>
              <w:spacing w:line="200" w:lineRule="atLeast"/>
              <w:rPr>
                <w:rFonts w:ascii="宋体" w:hAnsi="宋体" w:cs="宋体"/>
                <w:kern w:val="0"/>
                <w:szCs w:val="21"/>
              </w:rPr>
            </w:pPr>
          </w:p>
        </w:tc>
      </w:tr>
      <w:tr>
        <w:tblPrEx>
          <w:tblCellMar>
            <w:top w:w="0" w:type="dxa"/>
            <w:left w:w="108" w:type="dxa"/>
            <w:bottom w:w="0" w:type="dxa"/>
            <w:right w:w="108" w:type="dxa"/>
          </w:tblCellMar>
        </w:tblPrEx>
        <w:trPr>
          <w:trHeight w:val="300" w:hRule="atLeast"/>
          <w:jc w:val="center"/>
        </w:trPr>
        <w:tc>
          <w:tcPr>
            <w:tcW w:w="1266" w:type="dxa"/>
            <w:vMerge w:val="continue"/>
            <w:tcBorders>
              <w:left w:val="single" w:color="auto" w:sz="4" w:space="0"/>
              <w:right w:val="single" w:color="auto" w:sz="4" w:space="0"/>
            </w:tcBorders>
            <w:noWrap/>
            <w:vAlign w:val="center"/>
          </w:tcPr>
          <w:p>
            <w:pPr>
              <w:widowControl/>
              <w:spacing w:line="200" w:lineRule="atLeast"/>
              <w:rPr>
                <w:rFonts w:ascii="宋体" w:hAnsi="宋体" w:cs="宋体"/>
                <w:kern w:val="0"/>
                <w:szCs w:val="21"/>
              </w:rPr>
            </w:pPr>
          </w:p>
        </w:tc>
        <w:tc>
          <w:tcPr>
            <w:tcW w:w="2293"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cs="宋体"/>
                <w:kern w:val="0"/>
                <w:szCs w:val="21"/>
              </w:rPr>
            </w:pPr>
            <w:r>
              <w:rPr>
                <w:rFonts w:hint="eastAsia" w:ascii="宋体" w:hAnsi="宋体" w:eastAsia="宋体" w:cs="宋体"/>
                <w:i w:val="0"/>
                <w:color w:val="000000"/>
                <w:kern w:val="0"/>
                <w:sz w:val="22"/>
                <w:szCs w:val="22"/>
                <w:u w:val="none"/>
                <w:lang w:val="en-US" w:eastAsia="zh-CN" w:bidi="ar"/>
              </w:rPr>
              <w:t>酒店管理</w:t>
            </w:r>
          </w:p>
        </w:tc>
        <w:tc>
          <w:tcPr>
            <w:tcW w:w="388" w:type="dxa"/>
            <w:tcBorders>
              <w:top w:val="nil"/>
              <w:left w:val="nil"/>
              <w:bottom w:val="single" w:color="auto" w:sz="4" w:space="0"/>
              <w:right w:val="single" w:color="auto" w:sz="4" w:space="0"/>
            </w:tcBorders>
            <w:noWrap/>
            <w:vAlign w:val="center"/>
          </w:tcPr>
          <w:p>
            <w:pPr>
              <w:widowControl/>
              <w:spacing w:line="200" w:lineRule="atLeast"/>
              <w:rPr>
                <w:rFonts w:hint="eastAsia" w:ascii="宋体" w:hAnsi="宋体" w:eastAsia="宋体" w:cs="宋体"/>
                <w:kern w:val="0"/>
                <w:szCs w:val="21"/>
                <w:lang w:val="en-US" w:eastAsia="zh-CN"/>
              </w:rPr>
            </w:pPr>
            <w:r>
              <w:rPr>
                <w:rFonts w:hint="eastAsia" w:ascii="宋体" w:hAnsi="宋体" w:cs="宋体"/>
                <w:kern w:val="0"/>
                <w:szCs w:val="21"/>
                <w:lang w:val="en-US" w:eastAsia="zh-CN"/>
              </w:rPr>
              <w:t>3</w:t>
            </w:r>
          </w:p>
        </w:tc>
        <w:tc>
          <w:tcPr>
            <w:tcW w:w="637" w:type="dxa"/>
            <w:tcBorders>
              <w:top w:val="nil"/>
              <w:left w:val="nil"/>
              <w:bottom w:val="single" w:color="auto" w:sz="4" w:space="0"/>
              <w:right w:val="single" w:color="auto" w:sz="4" w:space="0"/>
            </w:tcBorders>
            <w:noWrap/>
            <w:vAlign w:val="center"/>
          </w:tcPr>
          <w:p>
            <w:pPr>
              <w:widowControl/>
              <w:spacing w:line="200" w:lineRule="atLeast"/>
              <w:rPr>
                <w:rFonts w:ascii="宋体" w:hAnsi="宋体" w:cs="宋体"/>
                <w:kern w:val="0"/>
                <w:szCs w:val="21"/>
              </w:rPr>
            </w:pPr>
            <w:r>
              <w:rPr>
                <w:rFonts w:hint="eastAsia" w:ascii="宋体" w:hAnsi="宋体" w:cs="宋体"/>
                <w:kern w:val="0"/>
                <w:szCs w:val="21"/>
              </w:rPr>
              <w:t>专科</w:t>
            </w:r>
          </w:p>
        </w:tc>
        <w:tc>
          <w:tcPr>
            <w:tcW w:w="1063" w:type="dxa"/>
            <w:tcBorders>
              <w:top w:val="nil"/>
              <w:left w:val="nil"/>
              <w:bottom w:val="single" w:color="auto" w:sz="4" w:space="0"/>
              <w:right w:val="single" w:color="auto" w:sz="4" w:space="0"/>
            </w:tcBorders>
            <w:noWrap/>
            <w:vAlign w:val="center"/>
          </w:tcPr>
          <w:p>
            <w:pPr>
              <w:widowControl/>
              <w:spacing w:line="200" w:lineRule="atLeast"/>
              <w:rPr>
                <w:rFonts w:hint="default" w:ascii="宋体" w:hAnsi="宋体" w:eastAsia="宋体" w:cs="宋体"/>
                <w:kern w:val="0"/>
                <w:szCs w:val="21"/>
                <w:lang w:val="en-US" w:eastAsia="zh-CN"/>
              </w:rPr>
            </w:pPr>
            <w:r>
              <w:rPr>
                <w:rFonts w:hint="eastAsia" w:ascii="宋体" w:hAnsi="宋体" w:cs="宋体"/>
                <w:kern w:val="0"/>
                <w:szCs w:val="21"/>
                <w:lang w:val="en-US" w:eastAsia="zh-CN"/>
              </w:rPr>
              <w:t>29</w:t>
            </w:r>
          </w:p>
        </w:tc>
        <w:tc>
          <w:tcPr>
            <w:tcW w:w="689" w:type="dxa"/>
            <w:vMerge w:val="continue"/>
            <w:tcBorders>
              <w:top w:val="single" w:color="auto" w:sz="4" w:space="0"/>
              <w:left w:val="nil"/>
              <w:bottom w:val="single" w:color="auto" w:sz="4" w:space="0"/>
              <w:right w:val="single" w:color="auto" w:sz="4" w:space="0"/>
            </w:tcBorders>
            <w:noWrap/>
            <w:vAlign w:val="center"/>
          </w:tcPr>
          <w:p>
            <w:pPr>
              <w:widowControl/>
              <w:spacing w:line="200" w:lineRule="atLeast"/>
              <w:rPr>
                <w:rFonts w:ascii="宋体" w:hAnsi="宋体" w:cs="宋体"/>
                <w:kern w:val="0"/>
                <w:szCs w:val="21"/>
              </w:rPr>
            </w:pPr>
          </w:p>
        </w:tc>
      </w:tr>
      <w:tr>
        <w:tblPrEx>
          <w:tblCellMar>
            <w:top w:w="0" w:type="dxa"/>
            <w:left w:w="108" w:type="dxa"/>
            <w:bottom w:w="0" w:type="dxa"/>
            <w:right w:w="108" w:type="dxa"/>
          </w:tblCellMar>
        </w:tblPrEx>
        <w:trPr>
          <w:trHeight w:val="300" w:hRule="atLeast"/>
          <w:jc w:val="center"/>
        </w:trPr>
        <w:tc>
          <w:tcPr>
            <w:tcW w:w="1266" w:type="dxa"/>
            <w:vMerge w:val="continue"/>
            <w:tcBorders>
              <w:left w:val="single" w:color="auto" w:sz="4" w:space="0"/>
              <w:right w:val="single" w:color="auto" w:sz="4" w:space="0"/>
            </w:tcBorders>
            <w:noWrap/>
            <w:vAlign w:val="center"/>
          </w:tcPr>
          <w:p>
            <w:pPr>
              <w:widowControl/>
              <w:spacing w:line="200" w:lineRule="atLeast"/>
              <w:rPr>
                <w:rFonts w:ascii="宋体" w:hAnsi="宋体" w:cs="宋体"/>
                <w:kern w:val="0"/>
                <w:szCs w:val="21"/>
              </w:rPr>
            </w:pPr>
          </w:p>
        </w:tc>
        <w:tc>
          <w:tcPr>
            <w:tcW w:w="2293"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cs="宋体"/>
                <w:kern w:val="0"/>
                <w:szCs w:val="21"/>
              </w:rPr>
            </w:pPr>
            <w:r>
              <w:rPr>
                <w:rFonts w:hint="eastAsia" w:ascii="宋体" w:hAnsi="宋体" w:eastAsia="宋体" w:cs="宋体"/>
                <w:i w:val="0"/>
                <w:color w:val="000000"/>
                <w:kern w:val="0"/>
                <w:sz w:val="22"/>
                <w:szCs w:val="22"/>
                <w:u w:val="none"/>
                <w:lang w:val="en-US" w:eastAsia="zh-CN" w:bidi="ar"/>
              </w:rPr>
              <w:t>酒店管理</w:t>
            </w:r>
          </w:p>
        </w:tc>
        <w:tc>
          <w:tcPr>
            <w:tcW w:w="388" w:type="dxa"/>
            <w:tcBorders>
              <w:top w:val="nil"/>
              <w:left w:val="nil"/>
              <w:bottom w:val="single" w:color="auto" w:sz="4" w:space="0"/>
              <w:right w:val="single" w:color="auto" w:sz="4" w:space="0"/>
            </w:tcBorders>
            <w:noWrap/>
            <w:vAlign w:val="center"/>
          </w:tcPr>
          <w:p>
            <w:pPr>
              <w:widowControl/>
              <w:spacing w:line="200" w:lineRule="atLeast"/>
              <w:rPr>
                <w:rFonts w:ascii="宋体" w:hAnsi="宋体" w:cs="宋体"/>
                <w:kern w:val="0"/>
                <w:szCs w:val="21"/>
              </w:rPr>
            </w:pPr>
            <w:r>
              <w:rPr>
                <w:rFonts w:hint="eastAsia" w:ascii="宋体" w:hAnsi="宋体" w:cs="宋体"/>
                <w:kern w:val="0"/>
                <w:szCs w:val="21"/>
              </w:rPr>
              <w:t>5</w:t>
            </w:r>
          </w:p>
        </w:tc>
        <w:tc>
          <w:tcPr>
            <w:tcW w:w="637" w:type="dxa"/>
            <w:tcBorders>
              <w:top w:val="nil"/>
              <w:left w:val="nil"/>
              <w:bottom w:val="single" w:color="auto" w:sz="4" w:space="0"/>
              <w:right w:val="single" w:color="auto" w:sz="4" w:space="0"/>
            </w:tcBorders>
            <w:noWrap/>
            <w:vAlign w:val="center"/>
          </w:tcPr>
          <w:p>
            <w:pPr>
              <w:widowControl/>
              <w:spacing w:line="200" w:lineRule="atLeast"/>
              <w:rPr>
                <w:rFonts w:ascii="宋体" w:hAnsi="宋体" w:cs="宋体"/>
                <w:kern w:val="0"/>
                <w:szCs w:val="21"/>
              </w:rPr>
            </w:pPr>
            <w:r>
              <w:rPr>
                <w:rFonts w:hint="eastAsia" w:ascii="宋体" w:hAnsi="宋体" w:cs="宋体"/>
                <w:kern w:val="0"/>
                <w:szCs w:val="21"/>
              </w:rPr>
              <w:t>专科</w:t>
            </w:r>
          </w:p>
        </w:tc>
        <w:tc>
          <w:tcPr>
            <w:tcW w:w="1063" w:type="dxa"/>
            <w:tcBorders>
              <w:top w:val="nil"/>
              <w:left w:val="nil"/>
              <w:bottom w:val="single" w:color="auto" w:sz="4" w:space="0"/>
              <w:right w:val="single" w:color="auto" w:sz="4" w:space="0"/>
            </w:tcBorders>
            <w:noWrap/>
            <w:vAlign w:val="center"/>
          </w:tcPr>
          <w:p>
            <w:pPr>
              <w:widowControl/>
              <w:spacing w:line="200" w:lineRule="atLeast"/>
              <w:rPr>
                <w:rFonts w:hint="default" w:ascii="宋体" w:hAnsi="宋体" w:eastAsia="宋体" w:cs="宋体"/>
                <w:kern w:val="0"/>
                <w:szCs w:val="21"/>
                <w:lang w:val="en-US" w:eastAsia="zh-CN"/>
              </w:rPr>
            </w:pPr>
            <w:r>
              <w:rPr>
                <w:rFonts w:hint="eastAsia" w:ascii="宋体" w:hAnsi="宋体" w:cs="宋体"/>
                <w:kern w:val="0"/>
                <w:szCs w:val="21"/>
                <w:lang w:val="en-US" w:eastAsia="zh-CN"/>
              </w:rPr>
              <w:t>34</w:t>
            </w:r>
          </w:p>
        </w:tc>
        <w:tc>
          <w:tcPr>
            <w:tcW w:w="689" w:type="dxa"/>
            <w:vMerge w:val="continue"/>
            <w:tcBorders>
              <w:top w:val="single" w:color="auto" w:sz="4" w:space="0"/>
              <w:left w:val="nil"/>
              <w:bottom w:val="single" w:color="auto" w:sz="4" w:space="0"/>
              <w:right w:val="single" w:color="auto" w:sz="4" w:space="0"/>
            </w:tcBorders>
            <w:noWrap/>
            <w:vAlign w:val="center"/>
          </w:tcPr>
          <w:p>
            <w:pPr>
              <w:widowControl/>
              <w:spacing w:line="200" w:lineRule="atLeast"/>
              <w:rPr>
                <w:rFonts w:ascii="宋体" w:hAnsi="宋体" w:cs="宋体"/>
                <w:kern w:val="0"/>
                <w:szCs w:val="21"/>
              </w:rPr>
            </w:pPr>
          </w:p>
        </w:tc>
      </w:tr>
      <w:tr>
        <w:tblPrEx>
          <w:tblCellMar>
            <w:top w:w="0" w:type="dxa"/>
            <w:left w:w="108" w:type="dxa"/>
            <w:bottom w:w="0" w:type="dxa"/>
            <w:right w:w="108" w:type="dxa"/>
          </w:tblCellMar>
        </w:tblPrEx>
        <w:trPr>
          <w:trHeight w:val="300" w:hRule="atLeast"/>
          <w:jc w:val="center"/>
        </w:trPr>
        <w:tc>
          <w:tcPr>
            <w:tcW w:w="1266" w:type="dxa"/>
            <w:vMerge w:val="continue"/>
            <w:tcBorders>
              <w:left w:val="single" w:color="auto" w:sz="4" w:space="0"/>
              <w:right w:val="single" w:color="auto" w:sz="4" w:space="0"/>
            </w:tcBorders>
            <w:noWrap/>
            <w:vAlign w:val="center"/>
          </w:tcPr>
          <w:p>
            <w:pPr>
              <w:widowControl/>
              <w:spacing w:line="200" w:lineRule="atLeast"/>
              <w:rPr>
                <w:rFonts w:ascii="宋体" w:hAnsi="宋体" w:cs="宋体"/>
                <w:kern w:val="0"/>
                <w:szCs w:val="21"/>
              </w:rPr>
            </w:pPr>
          </w:p>
        </w:tc>
        <w:tc>
          <w:tcPr>
            <w:tcW w:w="2293"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cs="宋体"/>
                <w:kern w:val="0"/>
                <w:szCs w:val="21"/>
              </w:rPr>
            </w:pPr>
            <w:r>
              <w:rPr>
                <w:rFonts w:hint="eastAsia" w:ascii="宋体" w:hAnsi="宋体" w:eastAsia="宋体" w:cs="宋体"/>
                <w:i w:val="0"/>
                <w:color w:val="000000"/>
                <w:kern w:val="0"/>
                <w:sz w:val="22"/>
                <w:szCs w:val="22"/>
                <w:u w:val="none"/>
                <w:lang w:val="en-US" w:eastAsia="zh-CN" w:bidi="ar"/>
              </w:rPr>
              <w:t>旅游管理</w:t>
            </w:r>
          </w:p>
        </w:tc>
        <w:tc>
          <w:tcPr>
            <w:tcW w:w="388" w:type="dxa"/>
            <w:tcBorders>
              <w:top w:val="nil"/>
              <w:left w:val="nil"/>
              <w:bottom w:val="single" w:color="auto" w:sz="4" w:space="0"/>
              <w:right w:val="single" w:color="auto" w:sz="4" w:space="0"/>
            </w:tcBorders>
            <w:noWrap/>
            <w:vAlign w:val="center"/>
          </w:tcPr>
          <w:p>
            <w:pPr>
              <w:widowControl/>
              <w:spacing w:line="200" w:lineRule="atLeast"/>
              <w:rPr>
                <w:rFonts w:ascii="宋体" w:hAnsi="宋体" w:cs="宋体"/>
                <w:kern w:val="0"/>
                <w:szCs w:val="21"/>
              </w:rPr>
            </w:pPr>
            <w:r>
              <w:rPr>
                <w:rFonts w:hint="eastAsia" w:ascii="宋体" w:hAnsi="宋体" w:cs="宋体"/>
                <w:kern w:val="0"/>
                <w:szCs w:val="21"/>
                <w:lang w:val="en-US" w:eastAsia="zh-CN"/>
              </w:rPr>
              <w:t>2</w:t>
            </w:r>
          </w:p>
        </w:tc>
        <w:tc>
          <w:tcPr>
            <w:tcW w:w="637" w:type="dxa"/>
            <w:tcBorders>
              <w:top w:val="nil"/>
              <w:left w:val="nil"/>
              <w:bottom w:val="single" w:color="auto" w:sz="4" w:space="0"/>
              <w:right w:val="single" w:color="auto" w:sz="4" w:space="0"/>
            </w:tcBorders>
            <w:noWrap/>
            <w:vAlign w:val="center"/>
          </w:tcPr>
          <w:p>
            <w:pPr>
              <w:widowControl/>
              <w:spacing w:line="200" w:lineRule="atLeast"/>
              <w:rPr>
                <w:rFonts w:ascii="宋体" w:hAnsi="宋体" w:cs="宋体"/>
                <w:kern w:val="0"/>
                <w:szCs w:val="21"/>
              </w:rPr>
            </w:pPr>
            <w:r>
              <w:rPr>
                <w:rFonts w:hint="eastAsia" w:ascii="宋体" w:hAnsi="宋体" w:cs="宋体"/>
                <w:kern w:val="0"/>
                <w:szCs w:val="21"/>
              </w:rPr>
              <w:t>专科</w:t>
            </w:r>
          </w:p>
        </w:tc>
        <w:tc>
          <w:tcPr>
            <w:tcW w:w="1063" w:type="dxa"/>
            <w:tcBorders>
              <w:top w:val="nil"/>
              <w:left w:val="nil"/>
              <w:bottom w:val="single" w:color="auto" w:sz="4" w:space="0"/>
              <w:right w:val="single" w:color="auto" w:sz="4" w:space="0"/>
            </w:tcBorders>
            <w:noWrap/>
            <w:vAlign w:val="center"/>
          </w:tcPr>
          <w:p>
            <w:pPr>
              <w:widowControl/>
              <w:spacing w:line="200" w:lineRule="atLeast"/>
              <w:rPr>
                <w:rFonts w:hint="default" w:ascii="宋体" w:hAnsi="宋体" w:eastAsia="宋体" w:cs="宋体"/>
                <w:kern w:val="0"/>
                <w:szCs w:val="21"/>
                <w:lang w:val="en-US" w:eastAsia="zh-CN"/>
              </w:rPr>
            </w:pPr>
            <w:r>
              <w:rPr>
                <w:rFonts w:hint="eastAsia" w:ascii="宋体" w:hAnsi="宋体" w:cs="宋体"/>
                <w:kern w:val="0"/>
                <w:szCs w:val="21"/>
                <w:lang w:val="en-US" w:eastAsia="zh-CN"/>
              </w:rPr>
              <w:t>240</w:t>
            </w:r>
          </w:p>
        </w:tc>
        <w:tc>
          <w:tcPr>
            <w:tcW w:w="689" w:type="dxa"/>
            <w:vMerge w:val="continue"/>
            <w:tcBorders>
              <w:top w:val="single" w:color="auto" w:sz="4" w:space="0"/>
              <w:left w:val="nil"/>
              <w:bottom w:val="single" w:color="auto" w:sz="4" w:space="0"/>
              <w:right w:val="single" w:color="auto" w:sz="4" w:space="0"/>
            </w:tcBorders>
            <w:noWrap/>
            <w:vAlign w:val="center"/>
          </w:tcPr>
          <w:p>
            <w:pPr>
              <w:widowControl/>
              <w:spacing w:line="200" w:lineRule="atLeast"/>
              <w:rPr>
                <w:rFonts w:ascii="宋体" w:hAnsi="宋体" w:cs="宋体"/>
                <w:kern w:val="0"/>
                <w:szCs w:val="21"/>
              </w:rPr>
            </w:pPr>
          </w:p>
        </w:tc>
      </w:tr>
      <w:tr>
        <w:tblPrEx>
          <w:tblCellMar>
            <w:top w:w="0" w:type="dxa"/>
            <w:left w:w="108" w:type="dxa"/>
            <w:bottom w:w="0" w:type="dxa"/>
            <w:right w:w="108" w:type="dxa"/>
          </w:tblCellMar>
        </w:tblPrEx>
        <w:trPr>
          <w:trHeight w:val="300" w:hRule="atLeast"/>
          <w:jc w:val="center"/>
        </w:trPr>
        <w:tc>
          <w:tcPr>
            <w:tcW w:w="1266" w:type="dxa"/>
            <w:vMerge w:val="continue"/>
            <w:tcBorders>
              <w:left w:val="single" w:color="auto" w:sz="4" w:space="0"/>
              <w:right w:val="single" w:color="auto" w:sz="4" w:space="0"/>
            </w:tcBorders>
            <w:noWrap/>
            <w:vAlign w:val="center"/>
          </w:tcPr>
          <w:p>
            <w:pPr>
              <w:widowControl/>
              <w:spacing w:line="200" w:lineRule="atLeast"/>
              <w:rPr>
                <w:rFonts w:ascii="宋体" w:hAnsi="宋体" w:cs="宋体"/>
                <w:kern w:val="0"/>
                <w:szCs w:val="21"/>
              </w:rPr>
            </w:pPr>
          </w:p>
        </w:tc>
        <w:tc>
          <w:tcPr>
            <w:tcW w:w="2293"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cs="宋体"/>
                <w:kern w:val="0"/>
                <w:szCs w:val="21"/>
              </w:rPr>
            </w:pPr>
            <w:r>
              <w:rPr>
                <w:rFonts w:hint="eastAsia" w:ascii="宋体" w:hAnsi="宋体" w:eastAsia="宋体" w:cs="宋体"/>
                <w:i w:val="0"/>
                <w:color w:val="000000"/>
                <w:kern w:val="0"/>
                <w:sz w:val="22"/>
                <w:szCs w:val="22"/>
                <w:u w:val="none"/>
                <w:lang w:val="en-US" w:eastAsia="zh-CN" w:bidi="ar"/>
              </w:rPr>
              <w:t>旅游管理</w:t>
            </w:r>
          </w:p>
        </w:tc>
        <w:tc>
          <w:tcPr>
            <w:tcW w:w="388" w:type="dxa"/>
            <w:tcBorders>
              <w:top w:val="nil"/>
              <w:left w:val="nil"/>
              <w:bottom w:val="single" w:color="auto" w:sz="4" w:space="0"/>
              <w:right w:val="nil"/>
            </w:tcBorders>
            <w:noWrap/>
            <w:vAlign w:val="center"/>
          </w:tcPr>
          <w:p>
            <w:pPr>
              <w:widowControl/>
              <w:spacing w:line="200" w:lineRule="atLeast"/>
              <w:rPr>
                <w:rFonts w:ascii="宋体" w:hAnsi="宋体" w:cs="宋体"/>
                <w:kern w:val="0"/>
                <w:szCs w:val="21"/>
              </w:rPr>
            </w:pPr>
            <w:r>
              <w:rPr>
                <w:rFonts w:hint="eastAsia" w:ascii="宋体" w:hAnsi="宋体" w:cs="宋体"/>
                <w:kern w:val="0"/>
                <w:szCs w:val="21"/>
                <w:lang w:val="en-US" w:eastAsia="zh-CN"/>
              </w:rPr>
              <w:t>3</w:t>
            </w:r>
          </w:p>
        </w:tc>
        <w:tc>
          <w:tcPr>
            <w:tcW w:w="637" w:type="dxa"/>
            <w:tcBorders>
              <w:top w:val="nil"/>
              <w:left w:val="single" w:color="auto" w:sz="4" w:space="0"/>
              <w:bottom w:val="single" w:color="auto" w:sz="4" w:space="0"/>
              <w:right w:val="single" w:color="auto" w:sz="4" w:space="0"/>
            </w:tcBorders>
            <w:noWrap/>
            <w:vAlign w:val="center"/>
          </w:tcPr>
          <w:p>
            <w:pPr>
              <w:widowControl/>
              <w:spacing w:line="200" w:lineRule="atLeast"/>
              <w:rPr>
                <w:rFonts w:ascii="宋体" w:hAnsi="宋体" w:cs="宋体"/>
                <w:kern w:val="0"/>
                <w:szCs w:val="21"/>
              </w:rPr>
            </w:pPr>
            <w:r>
              <w:rPr>
                <w:rFonts w:hint="eastAsia" w:ascii="宋体" w:hAnsi="宋体" w:cs="宋体"/>
                <w:kern w:val="0"/>
                <w:szCs w:val="21"/>
              </w:rPr>
              <w:t>专科</w:t>
            </w:r>
          </w:p>
        </w:tc>
        <w:tc>
          <w:tcPr>
            <w:tcW w:w="1063" w:type="dxa"/>
            <w:tcBorders>
              <w:top w:val="nil"/>
              <w:left w:val="nil"/>
              <w:bottom w:val="single" w:color="auto" w:sz="4" w:space="0"/>
              <w:right w:val="single" w:color="auto" w:sz="4" w:space="0"/>
            </w:tcBorders>
            <w:noWrap/>
            <w:vAlign w:val="center"/>
          </w:tcPr>
          <w:p>
            <w:pPr>
              <w:widowControl/>
              <w:spacing w:line="200" w:lineRule="atLeast"/>
              <w:rPr>
                <w:rFonts w:hint="default" w:ascii="宋体" w:hAnsi="宋体" w:eastAsia="宋体" w:cs="宋体"/>
                <w:kern w:val="0"/>
                <w:szCs w:val="21"/>
                <w:lang w:val="en-US" w:eastAsia="zh-CN"/>
              </w:rPr>
            </w:pPr>
            <w:r>
              <w:rPr>
                <w:rFonts w:hint="eastAsia" w:ascii="宋体" w:hAnsi="宋体" w:cs="宋体"/>
                <w:kern w:val="0"/>
                <w:szCs w:val="21"/>
                <w:lang w:val="en-US" w:eastAsia="zh-CN"/>
              </w:rPr>
              <w:t>50</w:t>
            </w:r>
          </w:p>
        </w:tc>
        <w:tc>
          <w:tcPr>
            <w:tcW w:w="689" w:type="dxa"/>
            <w:vMerge w:val="continue"/>
            <w:tcBorders>
              <w:top w:val="single" w:color="auto" w:sz="4" w:space="0"/>
              <w:left w:val="nil"/>
              <w:bottom w:val="single" w:color="auto" w:sz="4" w:space="0"/>
              <w:right w:val="single" w:color="auto" w:sz="4" w:space="0"/>
            </w:tcBorders>
            <w:noWrap/>
            <w:vAlign w:val="center"/>
          </w:tcPr>
          <w:p>
            <w:pPr>
              <w:widowControl/>
              <w:spacing w:line="200" w:lineRule="atLeast"/>
              <w:rPr>
                <w:rFonts w:ascii="宋体" w:hAnsi="宋体" w:cs="宋体"/>
                <w:kern w:val="0"/>
                <w:szCs w:val="21"/>
              </w:rPr>
            </w:pPr>
          </w:p>
        </w:tc>
      </w:tr>
      <w:tr>
        <w:tblPrEx>
          <w:tblCellMar>
            <w:top w:w="0" w:type="dxa"/>
            <w:left w:w="108" w:type="dxa"/>
            <w:bottom w:w="0" w:type="dxa"/>
            <w:right w:w="108" w:type="dxa"/>
          </w:tblCellMar>
        </w:tblPrEx>
        <w:trPr>
          <w:trHeight w:val="90" w:hRule="atLeast"/>
          <w:jc w:val="center"/>
        </w:trPr>
        <w:tc>
          <w:tcPr>
            <w:tcW w:w="1266" w:type="dxa"/>
            <w:vMerge w:val="continue"/>
            <w:tcBorders>
              <w:left w:val="single" w:color="auto" w:sz="4" w:space="0"/>
              <w:bottom w:val="single" w:color="auto" w:sz="4" w:space="0"/>
              <w:right w:val="single" w:color="auto" w:sz="4" w:space="0"/>
            </w:tcBorders>
            <w:noWrap/>
            <w:vAlign w:val="center"/>
          </w:tcPr>
          <w:p>
            <w:pPr>
              <w:widowControl/>
              <w:spacing w:line="200" w:lineRule="atLeast"/>
              <w:rPr>
                <w:rFonts w:ascii="宋体" w:hAnsi="宋体" w:cs="宋体"/>
                <w:kern w:val="0"/>
                <w:szCs w:val="21"/>
              </w:rPr>
            </w:pPr>
          </w:p>
        </w:tc>
        <w:tc>
          <w:tcPr>
            <w:tcW w:w="2293"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cs="宋体"/>
                <w:kern w:val="0"/>
                <w:szCs w:val="21"/>
              </w:rPr>
            </w:pPr>
            <w:r>
              <w:rPr>
                <w:rFonts w:hint="eastAsia" w:ascii="宋体" w:hAnsi="宋体" w:eastAsia="宋体" w:cs="宋体"/>
                <w:i w:val="0"/>
                <w:color w:val="000000"/>
                <w:kern w:val="0"/>
                <w:sz w:val="22"/>
                <w:szCs w:val="22"/>
                <w:u w:val="none"/>
                <w:lang w:val="en-US" w:eastAsia="zh-CN" w:bidi="ar"/>
              </w:rPr>
              <w:t>旅游管理</w:t>
            </w:r>
          </w:p>
        </w:tc>
        <w:tc>
          <w:tcPr>
            <w:tcW w:w="388" w:type="dxa"/>
            <w:tcBorders>
              <w:top w:val="nil"/>
              <w:left w:val="nil"/>
              <w:bottom w:val="single" w:color="auto" w:sz="4" w:space="0"/>
              <w:right w:val="nil"/>
            </w:tcBorders>
            <w:noWrap/>
            <w:vAlign w:val="center"/>
          </w:tcPr>
          <w:p>
            <w:pPr>
              <w:widowControl/>
              <w:spacing w:line="200" w:lineRule="atLeast"/>
              <w:rPr>
                <w:rFonts w:ascii="宋体" w:hAnsi="宋体" w:cs="宋体"/>
                <w:kern w:val="0"/>
                <w:szCs w:val="21"/>
              </w:rPr>
            </w:pPr>
            <w:r>
              <w:rPr>
                <w:rFonts w:hint="eastAsia" w:ascii="宋体" w:hAnsi="宋体" w:cs="宋体"/>
                <w:kern w:val="0"/>
                <w:szCs w:val="21"/>
              </w:rPr>
              <w:t>5</w:t>
            </w:r>
          </w:p>
        </w:tc>
        <w:tc>
          <w:tcPr>
            <w:tcW w:w="637" w:type="dxa"/>
            <w:tcBorders>
              <w:top w:val="nil"/>
              <w:left w:val="single" w:color="auto" w:sz="4" w:space="0"/>
              <w:bottom w:val="single" w:color="auto" w:sz="4" w:space="0"/>
              <w:right w:val="single" w:color="auto" w:sz="4" w:space="0"/>
            </w:tcBorders>
            <w:noWrap/>
            <w:vAlign w:val="center"/>
          </w:tcPr>
          <w:p>
            <w:pPr>
              <w:widowControl/>
              <w:spacing w:line="200" w:lineRule="atLeast"/>
              <w:rPr>
                <w:rFonts w:ascii="宋体" w:hAnsi="宋体" w:cs="宋体"/>
                <w:kern w:val="0"/>
                <w:szCs w:val="21"/>
              </w:rPr>
            </w:pPr>
            <w:r>
              <w:rPr>
                <w:rFonts w:hint="eastAsia" w:ascii="宋体" w:hAnsi="宋体" w:cs="宋体"/>
                <w:kern w:val="0"/>
                <w:szCs w:val="21"/>
              </w:rPr>
              <w:t>专科</w:t>
            </w:r>
          </w:p>
        </w:tc>
        <w:tc>
          <w:tcPr>
            <w:tcW w:w="1063" w:type="dxa"/>
            <w:tcBorders>
              <w:top w:val="nil"/>
              <w:left w:val="nil"/>
              <w:bottom w:val="single" w:color="auto" w:sz="4" w:space="0"/>
              <w:right w:val="single" w:color="auto" w:sz="4" w:space="0"/>
            </w:tcBorders>
            <w:noWrap/>
            <w:vAlign w:val="center"/>
          </w:tcPr>
          <w:p>
            <w:pPr>
              <w:widowControl/>
              <w:spacing w:line="200" w:lineRule="atLeast"/>
              <w:rPr>
                <w:rFonts w:hint="default" w:ascii="宋体" w:hAnsi="宋体" w:eastAsia="宋体" w:cs="宋体"/>
                <w:kern w:val="0"/>
                <w:szCs w:val="21"/>
                <w:lang w:val="en-US" w:eastAsia="zh-CN"/>
              </w:rPr>
            </w:pPr>
            <w:r>
              <w:rPr>
                <w:rFonts w:hint="eastAsia" w:ascii="宋体" w:hAnsi="宋体" w:cs="宋体"/>
                <w:kern w:val="0"/>
                <w:szCs w:val="21"/>
                <w:lang w:val="en-US" w:eastAsia="zh-CN"/>
              </w:rPr>
              <w:t>82</w:t>
            </w:r>
          </w:p>
        </w:tc>
        <w:tc>
          <w:tcPr>
            <w:tcW w:w="689" w:type="dxa"/>
            <w:vMerge w:val="continue"/>
            <w:tcBorders>
              <w:top w:val="single" w:color="auto" w:sz="4" w:space="0"/>
              <w:left w:val="nil"/>
              <w:bottom w:val="single" w:color="auto" w:sz="4" w:space="0"/>
              <w:right w:val="single" w:color="auto" w:sz="4" w:space="0"/>
            </w:tcBorders>
            <w:noWrap/>
            <w:vAlign w:val="center"/>
          </w:tcPr>
          <w:p>
            <w:pPr>
              <w:widowControl/>
              <w:spacing w:line="200" w:lineRule="atLeast"/>
              <w:rPr>
                <w:rFonts w:ascii="宋体" w:hAnsi="宋体" w:cs="宋体"/>
                <w:kern w:val="0"/>
                <w:szCs w:val="21"/>
              </w:rPr>
            </w:pPr>
          </w:p>
        </w:tc>
      </w:tr>
      <w:tr>
        <w:tblPrEx>
          <w:tblCellMar>
            <w:top w:w="0" w:type="dxa"/>
            <w:left w:w="108" w:type="dxa"/>
            <w:bottom w:w="0" w:type="dxa"/>
            <w:right w:w="108" w:type="dxa"/>
          </w:tblCellMar>
        </w:tblPrEx>
        <w:trPr>
          <w:trHeight w:val="225" w:hRule="atLeast"/>
          <w:jc w:val="center"/>
        </w:trPr>
        <w:tc>
          <w:tcPr>
            <w:tcW w:w="1266" w:type="dxa"/>
            <w:vMerge w:val="continue"/>
            <w:tcBorders>
              <w:top w:val="single" w:color="auto" w:sz="4" w:space="0"/>
              <w:left w:val="single" w:color="auto" w:sz="4" w:space="0"/>
              <w:bottom w:val="single" w:color="auto" w:sz="4" w:space="0"/>
              <w:right w:val="single" w:color="auto" w:sz="4" w:space="0"/>
            </w:tcBorders>
            <w:noWrap/>
            <w:vAlign w:val="center"/>
          </w:tcPr>
          <w:p>
            <w:pPr>
              <w:widowControl/>
              <w:spacing w:line="200" w:lineRule="atLeast"/>
              <w:rPr>
                <w:rFonts w:ascii="宋体" w:hAnsi="宋体" w:cs="宋体"/>
                <w:kern w:val="0"/>
                <w:szCs w:val="21"/>
              </w:rPr>
            </w:pPr>
          </w:p>
        </w:tc>
        <w:tc>
          <w:tcPr>
            <w:tcW w:w="229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cs="宋体"/>
                <w:kern w:val="0"/>
                <w:szCs w:val="21"/>
              </w:rPr>
            </w:pPr>
            <w:r>
              <w:rPr>
                <w:rFonts w:hint="eastAsia" w:ascii="宋体" w:hAnsi="宋体" w:eastAsia="宋体" w:cs="宋体"/>
                <w:i w:val="0"/>
                <w:color w:val="000000"/>
                <w:kern w:val="0"/>
                <w:sz w:val="22"/>
                <w:szCs w:val="22"/>
                <w:u w:val="none"/>
                <w:lang w:val="en-US" w:eastAsia="zh-CN" w:bidi="ar"/>
              </w:rPr>
              <w:t>烹调工艺与营养</w:t>
            </w:r>
          </w:p>
        </w:tc>
        <w:tc>
          <w:tcPr>
            <w:tcW w:w="388" w:type="dxa"/>
            <w:tcBorders>
              <w:top w:val="single" w:color="auto" w:sz="4" w:space="0"/>
              <w:left w:val="single" w:color="auto" w:sz="4" w:space="0"/>
              <w:bottom w:val="single" w:color="auto" w:sz="4" w:space="0"/>
              <w:right w:val="single" w:color="auto" w:sz="4" w:space="0"/>
            </w:tcBorders>
            <w:noWrap/>
            <w:vAlign w:val="center"/>
          </w:tcPr>
          <w:p>
            <w:pPr>
              <w:widowControl/>
              <w:spacing w:line="200" w:lineRule="atLeast"/>
              <w:rPr>
                <w:rFonts w:hint="eastAsia" w:ascii="宋体" w:hAnsi="宋体" w:eastAsia="宋体" w:cs="宋体"/>
                <w:kern w:val="0"/>
                <w:szCs w:val="21"/>
                <w:lang w:eastAsia="zh-CN"/>
              </w:rPr>
            </w:pPr>
            <w:r>
              <w:rPr>
                <w:rFonts w:hint="eastAsia" w:ascii="宋体" w:hAnsi="宋体" w:cs="宋体"/>
                <w:kern w:val="0"/>
                <w:szCs w:val="21"/>
                <w:lang w:val="en-US" w:eastAsia="zh-CN"/>
              </w:rPr>
              <w:t>2</w:t>
            </w:r>
          </w:p>
        </w:tc>
        <w:tc>
          <w:tcPr>
            <w:tcW w:w="637" w:type="dxa"/>
            <w:tcBorders>
              <w:top w:val="single" w:color="auto" w:sz="4" w:space="0"/>
              <w:left w:val="single" w:color="auto" w:sz="4" w:space="0"/>
              <w:bottom w:val="single" w:color="auto" w:sz="4" w:space="0"/>
              <w:right w:val="single" w:color="auto" w:sz="4" w:space="0"/>
            </w:tcBorders>
            <w:noWrap/>
            <w:vAlign w:val="center"/>
          </w:tcPr>
          <w:p>
            <w:pPr>
              <w:widowControl/>
              <w:spacing w:line="200" w:lineRule="atLeast"/>
              <w:rPr>
                <w:rFonts w:ascii="宋体" w:hAnsi="宋体" w:cs="宋体"/>
                <w:kern w:val="0"/>
                <w:szCs w:val="21"/>
              </w:rPr>
            </w:pPr>
            <w:r>
              <w:rPr>
                <w:rFonts w:hint="eastAsia" w:ascii="宋体" w:hAnsi="宋体" w:cs="宋体"/>
                <w:kern w:val="0"/>
                <w:szCs w:val="21"/>
              </w:rPr>
              <w:t>专科</w:t>
            </w:r>
          </w:p>
        </w:tc>
        <w:tc>
          <w:tcPr>
            <w:tcW w:w="1063" w:type="dxa"/>
            <w:tcBorders>
              <w:top w:val="single" w:color="auto" w:sz="4" w:space="0"/>
              <w:left w:val="single" w:color="auto" w:sz="4" w:space="0"/>
              <w:bottom w:val="single" w:color="auto" w:sz="4" w:space="0"/>
              <w:right w:val="single" w:color="auto" w:sz="4" w:space="0"/>
            </w:tcBorders>
            <w:noWrap/>
            <w:vAlign w:val="center"/>
          </w:tcPr>
          <w:p>
            <w:pPr>
              <w:widowControl/>
              <w:spacing w:line="200" w:lineRule="atLeast"/>
              <w:rPr>
                <w:rFonts w:hint="default" w:ascii="宋体" w:hAnsi="宋体" w:eastAsia="宋体" w:cs="宋体"/>
                <w:kern w:val="0"/>
                <w:szCs w:val="21"/>
                <w:lang w:val="en-US" w:eastAsia="zh-CN"/>
              </w:rPr>
            </w:pPr>
            <w:r>
              <w:rPr>
                <w:rFonts w:hint="eastAsia" w:ascii="宋体" w:hAnsi="宋体" w:cs="宋体"/>
                <w:kern w:val="0"/>
                <w:szCs w:val="21"/>
                <w:lang w:val="en-US" w:eastAsia="zh-CN"/>
              </w:rPr>
              <w:t>63</w:t>
            </w:r>
          </w:p>
        </w:tc>
        <w:tc>
          <w:tcPr>
            <w:tcW w:w="689" w:type="dxa"/>
            <w:vMerge w:val="continue"/>
            <w:tcBorders>
              <w:top w:val="single" w:color="auto" w:sz="4" w:space="0"/>
              <w:left w:val="single" w:color="auto" w:sz="4" w:space="0"/>
              <w:bottom w:val="single" w:color="auto" w:sz="4" w:space="0"/>
              <w:right w:val="single" w:color="auto" w:sz="4" w:space="0"/>
            </w:tcBorders>
            <w:noWrap/>
            <w:vAlign w:val="center"/>
          </w:tcPr>
          <w:p>
            <w:pPr>
              <w:widowControl/>
              <w:spacing w:line="200" w:lineRule="atLeast"/>
              <w:rPr>
                <w:rFonts w:ascii="宋体" w:hAnsi="宋体" w:cs="宋体"/>
                <w:kern w:val="0"/>
                <w:szCs w:val="21"/>
              </w:rPr>
            </w:pPr>
          </w:p>
        </w:tc>
      </w:tr>
      <w:tr>
        <w:tblPrEx>
          <w:tblCellMar>
            <w:top w:w="0" w:type="dxa"/>
            <w:left w:w="108" w:type="dxa"/>
            <w:bottom w:w="0" w:type="dxa"/>
            <w:right w:w="108" w:type="dxa"/>
          </w:tblCellMar>
        </w:tblPrEx>
        <w:trPr>
          <w:trHeight w:val="184" w:hRule="atLeast"/>
          <w:jc w:val="center"/>
        </w:trPr>
        <w:tc>
          <w:tcPr>
            <w:tcW w:w="1266" w:type="dxa"/>
            <w:vMerge w:val="restart"/>
            <w:tcBorders>
              <w:top w:val="single" w:color="auto" w:sz="4" w:space="0"/>
              <w:left w:val="single" w:color="auto" w:sz="4" w:space="0"/>
              <w:right w:val="single" w:color="auto" w:sz="4" w:space="0"/>
            </w:tcBorders>
            <w:noWrap/>
            <w:vAlign w:val="center"/>
          </w:tcPr>
          <w:p>
            <w:pPr>
              <w:widowControl/>
              <w:spacing w:line="200" w:lineRule="atLeast"/>
              <w:rPr>
                <w:rFonts w:ascii="宋体" w:hAnsi="宋体" w:cs="宋体"/>
                <w:kern w:val="0"/>
                <w:szCs w:val="21"/>
              </w:rPr>
            </w:pPr>
            <w:r>
              <w:rPr>
                <w:rFonts w:hint="eastAsia" w:ascii="宋体" w:hAnsi="宋体" w:cs="宋体"/>
                <w:kern w:val="0"/>
                <w:szCs w:val="21"/>
              </w:rPr>
              <w:t>人文艺术系</w:t>
            </w:r>
          </w:p>
        </w:tc>
        <w:tc>
          <w:tcPr>
            <w:tcW w:w="2293"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cs="宋体"/>
                <w:kern w:val="0"/>
                <w:szCs w:val="21"/>
              </w:rPr>
            </w:pPr>
            <w:r>
              <w:rPr>
                <w:rFonts w:hint="eastAsia" w:ascii="宋体" w:hAnsi="宋体" w:eastAsia="宋体" w:cs="宋体"/>
                <w:i w:val="0"/>
                <w:color w:val="000000"/>
                <w:kern w:val="0"/>
                <w:sz w:val="22"/>
                <w:szCs w:val="22"/>
                <w:u w:val="none"/>
                <w:lang w:val="en-US" w:eastAsia="zh-CN" w:bidi="ar"/>
              </w:rPr>
              <w:t>视觉传播设计与制作</w:t>
            </w:r>
          </w:p>
        </w:tc>
        <w:tc>
          <w:tcPr>
            <w:tcW w:w="388" w:type="dxa"/>
            <w:tcBorders>
              <w:top w:val="single" w:color="auto" w:sz="4" w:space="0"/>
              <w:left w:val="nil"/>
              <w:bottom w:val="single" w:color="auto" w:sz="4" w:space="0"/>
              <w:right w:val="single" w:color="auto" w:sz="4" w:space="0"/>
            </w:tcBorders>
            <w:noWrap/>
            <w:vAlign w:val="center"/>
          </w:tcPr>
          <w:p>
            <w:pPr>
              <w:widowControl/>
              <w:spacing w:line="200" w:lineRule="atLeast"/>
              <w:rPr>
                <w:rFonts w:ascii="宋体" w:hAnsi="宋体" w:cs="宋体"/>
                <w:kern w:val="0"/>
                <w:szCs w:val="21"/>
              </w:rPr>
            </w:pPr>
            <w:r>
              <w:rPr>
                <w:rFonts w:hint="eastAsia" w:ascii="宋体" w:hAnsi="宋体" w:cs="宋体"/>
                <w:kern w:val="0"/>
                <w:szCs w:val="21"/>
              </w:rPr>
              <w:t>3</w:t>
            </w:r>
          </w:p>
        </w:tc>
        <w:tc>
          <w:tcPr>
            <w:tcW w:w="637" w:type="dxa"/>
            <w:tcBorders>
              <w:top w:val="single" w:color="auto" w:sz="4" w:space="0"/>
              <w:left w:val="nil"/>
              <w:bottom w:val="single" w:color="auto" w:sz="4" w:space="0"/>
              <w:right w:val="single" w:color="auto" w:sz="4" w:space="0"/>
            </w:tcBorders>
            <w:noWrap/>
            <w:vAlign w:val="center"/>
          </w:tcPr>
          <w:p>
            <w:pPr>
              <w:widowControl/>
              <w:spacing w:line="200" w:lineRule="atLeast"/>
              <w:rPr>
                <w:rFonts w:ascii="宋体" w:hAnsi="宋体" w:cs="宋体"/>
                <w:kern w:val="0"/>
                <w:szCs w:val="21"/>
              </w:rPr>
            </w:pPr>
            <w:r>
              <w:rPr>
                <w:rFonts w:hint="eastAsia" w:ascii="宋体" w:hAnsi="宋体" w:cs="宋体"/>
                <w:kern w:val="0"/>
                <w:szCs w:val="21"/>
              </w:rPr>
              <w:t>专科</w:t>
            </w:r>
          </w:p>
        </w:tc>
        <w:tc>
          <w:tcPr>
            <w:tcW w:w="1063" w:type="dxa"/>
            <w:tcBorders>
              <w:top w:val="single" w:color="auto" w:sz="4" w:space="0"/>
              <w:left w:val="nil"/>
              <w:bottom w:val="single" w:color="auto" w:sz="4" w:space="0"/>
              <w:right w:val="single" w:color="auto" w:sz="4" w:space="0"/>
            </w:tcBorders>
            <w:noWrap/>
            <w:vAlign w:val="center"/>
          </w:tcPr>
          <w:p>
            <w:pPr>
              <w:widowControl/>
              <w:spacing w:line="200" w:lineRule="atLeast"/>
              <w:rPr>
                <w:rFonts w:hint="eastAsia" w:ascii="宋体" w:hAnsi="宋体" w:eastAsia="宋体" w:cs="宋体"/>
                <w:kern w:val="0"/>
                <w:szCs w:val="21"/>
                <w:lang w:eastAsia="zh-CN"/>
              </w:rPr>
            </w:pPr>
            <w:r>
              <w:rPr>
                <w:rFonts w:hint="eastAsia" w:ascii="宋体" w:hAnsi="宋体" w:cs="宋体"/>
                <w:kern w:val="0"/>
                <w:szCs w:val="21"/>
                <w:lang w:val="en-US" w:eastAsia="zh-CN"/>
              </w:rPr>
              <w:t>5</w:t>
            </w:r>
          </w:p>
        </w:tc>
        <w:tc>
          <w:tcPr>
            <w:tcW w:w="689" w:type="dxa"/>
            <w:vMerge w:val="restart"/>
            <w:tcBorders>
              <w:top w:val="single" w:color="auto" w:sz="4" w:space="0"/>
              <w:left w:val="nil"/>
              <w:right w:val="single" w:color="auto" w:sz="4" w:space="0"/>
            </w:tcBorders>
            <w:noWrap/>
            <w:vAlign w:val="center"/>
          </w:tcPr>
          <w:p>
            <w:pPr>
              <w:widowControl/>
              <w:spacing w:line="200" w:lineRule="atLeast"/>
              <w:rPr>
                <w:rFonts w:hint="default" w:ascii="宋体" w:hAnsi="宋体" w:eastAsia="宋体" w:cs="宋体"/>
                <w:kern w:val="0"/>
                <w:szCs w:val="21"/>
                <w:lang w:val="en-US" w:eastAsia="zh-CN"/>
              </w:rPr>
            </w:pPr>
            <w:r>
              <w:rPr>
                <w:rFonts w:hint="eastAsia" w:ascii="宋体" w:hAnsi="宋体" w:cs="宋体"/>
                <w:kern w:val="0"/>
                <w:szCs w:val="21"/>
                <w:lang w:val="en-US" w:eastAsia="zh-CN"/>
              </w:rPr>
              <w:t>11</w:t>
            </w:r>
          </w:p>
        </w:tc>
      </w:tr>
      <w:tr>
        <w:tblPrEx>
          <w:tblCellMar>
            <w:top w:w="0" w:type="dxa"/>
            <w:left w:w="108" w:type="dxa"/>
            <w:bottom w:w="0" w:type="dxa"/>
            <w:right w:w="108" w:type="dxa"/>
          </w:tblCellMar>
        </w:tblPrEx>
        <w:trPr>
          <w:trHeight w:val="116" w:hRule="atLeast"/>
          <w:jc w:val="center"/>
        </w:trPr>
        <w:tc>
          <w:tcPr>
            <w:tcW w:w="1266" w:type="dxa"/>
            <w:vMerge w:val="continue"/>
            <w:tcBorders>
              <w:left w:val="single" w:color="auto" w:sz="4" w:space="0"/>
              <w:bottom w:val="single" w:color="auto" w:sz="4" w:space="0"/>
              <w:right w:val="single" w:color="auto" w:sz="4" w:space="0"/>
            </w:tcBorders>
            <w:noWrap/>
            <w:vAlign w:val="center"/>
          </w:tcPr>
          <w:p>
            <w:pPr>
              <w:widowControl/>
              <w:spacing w:line="200" w:lineRule="atLeast"/>
              <w:rPr>
                <w:rFonts w:hint="eastAsia" w:ascii="宋体" w:hAnsi="宋体" w:cs="宋体"/>
                <w:kern w:val="0"/>
                <w:szCs w:val="21"/>
              </w:rPr>
            </w:pPr>
          </w:p>
        </w:tc>
        <w:tc>
          <w:tcPr>
            <w:tcW w:w="2293"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音乐表演</w:t>
            </w:r>
          </w:p>
        </w:tc>
        <w:tc>
          <w:tcPr>
            <w:tcW w:w="388" w:type="dxa"/>
            <w:tcBorders>
              <w:top w:val="single" w:color="auto" w:sz="4" w:space="0"/>
              <w:left w:val="nil"/>
              <w:bottom w:val="single" w:color="auto" w:sz="4" w:space="0"/>
              <w:right w:val="single" w:color="auto" w:sz="4" w:space="0"/>
            </w:tcBorders>
            <w:noWrap/>
            <w:vAlign w:val="center"/>
          </w:tcPr>
          <w:p>
            <w:pPr>
              <w:widowControl/>
              <w:spacing w:line="200" w:lineRule="atLeast"/>
              <w:rPr>
                <w:rFonts w:hint="eastAsia" w:ascii="宋体" w:hAnsi="宋体" w:eastAsia="宋体" w:cs="宋体"/>
                <w:kern w:val="0"/>
                <w:szCs w:val="21"/>
                <w:lang w:val="en-US" w:eastAsia="zh-CN"/>
              </w:rPr>
            </w:pPr>
            <w:r>
              <w:rPr>
                <w:rFonts w:hint="eastAsia" w:ascii="宋体" w:hAnsi="宋体" w:cs="宋体"/>
                <w:kern w:val="0"/>
                <w:szCs w:val="21"/>
                <w:lang w:val="en-US" w:eastAsia="zh-CN"/>
              </w:rPr>
              <w:t>3</w:t>
            </w:r>
          </w:p>
        </w:tc>
        <w:tc>
          <w:tcPr>
            <w:tcW w:w="637" w:type="dxa"/>
            <w:tcBorders>
              <w:top w:val="single" w:color="auto" w:sz="4" w:space="0"/>
              <w:left w:val="nil"/>
              <w:bottom w:val="single" w:color="auto" w:sz="4" w:space="0"/>
              <w:right w:val="single" w:color="auto" w:sz="4" w:space="0"/>
            </w:tcBorders>
            <w:noWrap/>
            <w:vAlign w:val="center"/>
          </w:tcPr>
          <w:p>
            <w:pPr>
              <w:widowControl/>
              <w:spacing w:line="200" w:lineRule="atLeast"/>
              <w:rPr>
                <w:rFonts w:hint="eastAsia" w:ascii="宋体" w:hAnsi="宋体" w:cs="宋体"/>
                <w:kern w:val="0"/>
                <w:szCs w:val="21"/>
              </w:rPr>
            </w:pPr>
            <w:r>
              <w:rPr>
                <w:rFonts w:hint="eastAsia" w:ascii="宋体" w:hAnsi="宋体" w:cs="宋体"/>
                <w:kern w:val="0"/>
                <w:szCs w:val="21"/>
              </w:rPr>
              <w:t>专科</w:t>
            </w:r>
          </w:p>
        </w:tc>
        <w:tc>
          <w:tcPr>
            <w:tcW w:w="1063" w:type="dxa"/>
            <w:tcBorders>
              <w:top w:val="single" w:color="auto" w:sz="4" w:space="0"/>
              <w:left w:val="nil"/>
              <w:bottom w:val="single" w:color="auto" w:sz="4" w:space="0"/>
              <w:right w:val="single" w:color="auto" w:sz="4" w:space="0"/>
            </w:tcBorders>
            <w:noWrap/>
            <w:vAlign w:val="center"/>
          </w:tcPr>
          <w:p>
            <w:pPr>
              <w:widowControl/>
              <w:spacing w:line="200" w:lineRule="atLeast"/>
              <w:rPr>
                <w:rFonts w:hint="eastAsia" w:ascii="宋体" w:hAnsi="宋体" w:eastAsia="宋体" w:cs="宋体"/>
                <w:kern w:val="0"/>
                <w:szCs w:val="21"/>
                <w:lang w:val="en-US" w:eastAsia="zh-CN"/>
              </w:rPr>
            </w:pPr>
            <w:r>
              <w:rPr>
                <w:rFonts w:hint="eastAsia" w:ascii="宋体" w:hAnsi="宋体" w:cs="宋体"/>
                <w:kern w:val="0"/>
                <w:szCs w:val="21"/>
                <w:lang w:val="en-US" w:eastAsia="zh-CN"/>
              </w:rPr>
              <w:t>6</w:t>
            </w:r>
          </w:p>
        </w:tc>
        <w:tc>
          <w:tcPr>
            <w:tcW w:w="689" w:type="dxa"/>
            <w:vMerge w:val="continue"/>
            <w:tcBorders>
              <w:left w:val="nil"/>
              <w:bottom w:val="single" w:color="auto" w:sz="4" w:space="0"/>
              <w:right w:val="single" w:color="auto" w:sz="4" w:space="0"/>
            </w:tcBorders>
            <w:noWrap/>
            <w:vAlign w:val="center"/>
          </w:tcPr>
          <w:p>
            <w:pPr>
              <w:widowControl/>
              <w:spacing w:line="200" w:lineRule="atLeast"/>
              <w:rPr>
                <w:rFonts w:hint="eastAsia" w:ascii="宋体" w:hAnsi="宋体" w:cs="宋体"/>
                <w:kern w:val="0"/>
                <w:szCs w:val="21"/>
              </w:rPr>
            </w:pPr>
          </w:p>
        </w:tc>
      </w:tr>
    </w:tbl>
    <w:p>
      <w:pPr>
        <w:jc w:val="left"/>
        <w:rPr>
          <w:rFonts w:hint="eastAsia" w:asciiTheme="minorEastAsia" w:hAnsiTheme="minorEastAsia" w:eastAsiaTheme="minorEastAsia" w:cstheme="minorEastAsia"/>
          <w:color w:val="000000"/>
          <w:sz w:val="21"/>
          <w:szCs w:val="32"/>
        </w:rPr>
      </w:pPr>
      <w:r>
        <w:rPr>
          <w:rFonts w:hint="eastAsia" w:asciiTheme="minorEastAsia" w:hAnsiTheme="minorEastAsia" w:eastAsiaTheme="minorEastAsia" w:cstheme="minorEastAsia"/>
          <w:color w:val="000000"/>
          <w:sz w:val="21"/>
          <w:szCs w:val="32"/>
        </w:rPr>
        <w:t>数据来源：海南外国语职业学院201</w:t>
      </w:r>
      <w:r>
        <w:rPr>
          <w:rFonts w:hint="eastAsia" w:asciiTheme="minorEastAsia" w:hAnsiTheme="minorEastAsia" w:eastAsiaTheme="minorEastAsia" w:cstheme="minorEastAsia"/>
          <w:color w:val="000000"/>
          <w:sz w:val="21"/>
          <w:szCs w:val="32"/>
          <w:lang w:val="en-US" w:eastAsia="zh-CN"/>
        </w:rPr>
        <w:t>9</w:t>
      </w:r>
      <w:r>
        <w:rPr>
          <w:rFonts w:hint="eastAsia" w:asciiTheme="minorEastAsia" w:hAnsiTheme="minorEastAsia" w:eastAsiaTheme="minorEastAsia" w:cstheme="minorEastAsia"/>
          <w:color w:val="000000"/>
          <w:sz w:val="21"/>
          <w:szCs w:val="32"/>
        </w:rPr>
        <w:t>届毕业生就业监测系统数据。</w:t>
      </w:r>
    </w:p>
    <w:p>
      <w:pPr>
        <w:pStyle w:val="6"/>
        <w:spacing w:before="120" w:after="120"/>
        <w:ind w:firstLine="420"/>
        <w:jc w:val="center"/>
        <w:rPr>
          <w:bCs/>
          <w:kern w:val="0"/>
          <w:szCs w:val="21"/>
        </w:rPr>
      </w:pPr>
    </w:p>
    <w:p>
      <w:pPr>
        <w:pStyle w:val="4"/>
        <w:bidi w:val="0"/>
      </w:pPr>
      <w:bookmarkStart w:id="23" w:name="_Toc28396"/>
      <w:bookmarkStart w:id="24" w:name="_Toc9285"/>
      <w:bookmarkStart w:id="25" w:name="_Toc32472_WPSOffice_Level3"/>
      <w:bookmarkStart w:id="26" w:name="_Toc30065_WPSOffice_Level3"/>
      <w:bookmarkStart w:id="27" w:name="_Toc32654_WPSOffice_Level3"/>
      <w:bookmarkStart w:id="28" w:name="_Toc1232_WPSOffice_Level3"/>
      <w:r>
        <w:rPr>
          <w:rFonts w:hint="eastAsia"/>
        </w:rPr>
        <w:t>毕业生的生源结构</w:t>
      </w:r>
      <w:bookmarkEnd w:id="23"/>
      <w:bookmarkEnd w:id="24"/>
      <w:bookmarkEnd w:id="25"/>
      <w:bookmarkEnd w:id="26"/>
      <w:bookmarkEnd w:id="27"/>
      <w:bookmarkEnd w:id="28"/>
    </w:p>
    <w:p>
      <w:pPr>
        <w:pStyle w:val="7"/>
        <w:bidi w:val="0"/>
        <w:rPr>
          <w:lang w:eastAsia="zh-CN"/>
        </w:rPr>
      </w:pPr>
      <w:r>
        <w:rPr>
          <w:rFonts w:hint="eastAsia"/>
          <w:lang w:eastAsia="zh-CN"/>
        </w:rPr>
        <w:t>从生源结构来看，本校2019届毕业生以省内生源为主，占比超过半数（52.1%）；其次是广东生源，占比接近三成（</w:t>
      </w:r>
      <w:r>
        <w:rPr>
          <w:lang w:eastAsia="zh-CN"/>
        </w:rPr>
        <w:t>29.9%</w:t>
      </w:r>
      <w:r>
        <w:rPr>
          <w:rFonts w:hint="eastAsia"/>
          <w:lang w:eastAsia="zh-CN"/>
        </w:rPr>
        <w:t>）。</w:t>
      </w:r>
    </w:p>
    <w:p>
      <w:pPr>
        <w:pStyle w:val="8"/>
        <w:numPr>
          <w:ilvl w:val="0"/>
          <w:numId w:val="0"/>
        </w:numPr>
        <w:spacing w:line="360" w:lineRule="auto"/>
        <w:jc w:val="center"/>
        <w:rPr>
          <w:rFonts w:eastAsia="宋体"/>
          <w:b w:val="0"/>
        </w:rPr>
      </w:pPr>
      <w:bookmarkStart w:id="29" w:name="_Toc23442216"/>
      <w:r>
        <w:rPr>
          <w:rFonts w:hint="eastAsia" w:asciiTheme="minorEastAsia" w:hAnsiTheme="minorEastAsia" w:eastAsiaTheme="minorEastAsia" w:cstheme="minorEastAsia"/>
          <w:b/>
          <w:bCs/>
          <w:kern w:val="2"/>
          <w:sz w:val="21"/>
          <w:szCs w:val="21"/>
          <w:lang w:val="en-US" w:eastAsia="zh-CN" w:bidi="ar-SA"/>
        </w:rPr>
        <w:t>表1-2 本校2019届毕业生的生源结构</w:t>
      </w:r>
      <w:bookmarkEnd w:id="29"/>
    </w:p>
    <w:tbl>
      <w:tblPr>
        <w:tblStyle w:val="14"/>
        <w:tblW w:w="8890" w:type="dxa"/>
        <w:tblInd w:w="0" w:type="dxa"/>
        <w:tblLayout w:type="fixed"/>
        <w:tblCellMar>
          <w:top w:w="0" w:type="dxa"/>
          <w:left w:w="108" w:type="dxa"/>
          <w:bottom w:w="0" w:type="dxa"/>
          <w:right w:w="108" w:type="dxa"/>
        </w:tblCellMar>
      </w:tblPr>
      <w:tblGrid>
        <w:gridCol w:w="4445"/>
        <w:gridCol w:w="4445"/>
      </w:tblGrid>
      <w:tr>
        <w:tblPrEx>
          <w:tblCellMar>
            <w:top w:w="0" w:type="dxa"/>
            <w:left w:w="108" w:type="dxa"/>
            <w:bottom w:w="0" w:type="dxa"/>
            <w:right w:w="108" w:type="dxa"/>
          </w:tblCellMar>
        </w:tblPrEx>
        <w:trPr>
          <w:trHeight w:val="270" w:hRule="atLeast"/>
          <w:tblHeader/>
        </w:trPr>
        <w:tc>
          <w:tcPr>
            <w:tcW w:w="4445" w:type="dxa"/>
            <w:tcBorders>
              <w:top w:val="nil"/>
              <w:left w:val="nil"/>
              <w:bottom w:val="nil"/>
              <w:right w:val="single" w:color="FFFFFF" w:sz="12" w:space="0"/>
            </w:tcBorders>
            <w:shd w:val="clear" w:color="000000" w:fill="2350A0"/>
            <w:noWrap/>
            <w:vAlign w:val="center"/>
          </w:tcPr>
          <w:p>
            <w:pPr>
              <w:widowControl/>
              <w:spacing w:line="320" w:lineRule="exact"/>
              <w:jc w:val="center"/>
              <w:rPr>
                <w:rFonts w:ascii="Calibri" w:hAnsi="Calibri"/>
                <w:b/>
                <w:bCs/>
                <w:color w:val="FFFFFF"/>
                <w:kern w:val="0"/>
                <w:sz w:val="20"/>
                <w:szCs w:val="20"/>
              </w:rPr>
            </w:pPr>
            <w:r>
              <w:rPr>
                <w:rFonts w:hint="eastAsia" w:ascii="Calibri" w:hAnsi="Calibri"/>
                <w:b/>
                <w:bCs/>
                <w:color w:val="FFFFFF"/>
                <w:sz w:val="20"/>
                <w:szCs w:val="20"/>
              </w:rPr>
              <w:t>生源地</w:t>
            </w:r>
          </w:p>
        </w:tc>
        <w:tc>
          <w:tcPr>
            <w:tcW w:w="4445" w:type="dxa"/>
            <w:tcBorders>
              <w:top w:val="nil"/>
              <w:left w:val="nil"/>
              <w:bottom w:val="nil"/>
              <w:right w:val="single" w:color="FFFFFF" w:sz="12" w:space="0"/>
            </w:tcBorders>
            <w:shd w:val="clear" w:color="000000" w:fill="2350A0"/>
            <w:noWrap/>
            <w:vAlign w:val="center"/>
          </w:tcPr>
          <w:p>
            <w:pPr>
              <w:spacing w:line="320" w:lineRule="exact"/>
              <w:jc w:val="center"/>
              <w:rPr>
                <w:rFonts w:hint="eastAsia" w:ascii="Calibri" w:hAnsi="Calibri"/>
                <w:b/>
                <w:bCs/>
                <w:color w:val="FFFFFF"/>
                <w:sz w:val="20"/>
                <w:szCs w:val="20"/>
              </w:rPr>
            </w:pPr>
            <w:r>
              <w:rPr>
                <w:rFonts w:hint="eastAsia" w:ascii="Calibri" w:hAnsi="Calibri"/>
                <w:b/>
                <w:bCs/>
                <w:color w:val="FFFFFF"/>
                <w:sz w:val="20"/>
                <w:szCs w:val="20"/>
              </w:rPr>
              <w:t>毕业生所占比例（%）</w:t>
            </w:r>
          </w:p>
        </w:tc>
      </w:tr>
      <w:tr>
        <w:tblPrEx>
          <w:tblCellMar>
            <w:top w:w="0" w:type="dxa"/>
            <w:left w:w="108" w:type="dxa"/>
            <w:bottom w:w="0" w:type="dxa"/>
            <w:right w:w="108" w:type="dxa"/>
          </w:tblCellMar>
        </w:tblPrEx>
        <w:trPr>
          <w:trHeight w:val="270" w:hRule="atLeast"/>
        </w:trPr>
        <w:tc>
          <w:tcPr>
            <w:tcW w:w="4445" w:type="dxa"/>
            <w:tcBorders>
              <w:top w:val="nil"/>
              <w:left w:val="nil"/>
              <w:bottom w:val="nil"/>
              <w:right w:val="nil"/>
            </w:tcBorders>
            <w:shd w:val="clear" w:color="000000" w:fill="FFFFFF"/>
            <w:noWrap/>
            <w:vAlign w:val="center"/>
          </w:tcPr>
          <w:p>
            <w:pPr>
              <w:spacing w:line="320" w:lineRule="exact"/>
              <w:jc w:val="left"/>
              <w:rPr>
                <w:rFonts w:hint="eastAsia" w:ascii="Calibri" w:hAnsi="Calibri"/>
                <w:color w:val="000000"/>
                <w:sz w:val="20"/>
                <w:szCs w:val="20"/>
              </w:rPr>
            </w:pPr>
            <w:r>
              <w:rPr>
                <w:rFonts w:hint="eastAsia" w:ascii="Calibri" w:hAnsi="Calibri"/>
                <w:color w:val="000000"/>
                <w:sz w:val="20"/>
                <w:szCs w:val="20"/>
              </w:rPr>
              <w:t>海南</w:t>
            </w:r>
          </w:p>
        </w:tc>
        <w:tc>
          <w:tcPr>
            <w:tcW w:w="4445" w:type="dxa"/>
            <w:tcBorders>
              <w:top w:val="nil"/>
              <w:left w:val="nil"/>
              <w:bottom w:val="nil"/>
              <w:right w:val="nil"/>
            </w:tcBorders>
            <w:shd w:val="clear" w:color="000000" w:fill="FFFFFF"/>
            <w:noWrap/>
            <w:vAlign w:val="center"/>
          </w:tcPr>
          <w:p>
            <w:pPr>
              <w:spacing w:line="320" w:lineRule="exact"/>
              <w:jc w:val="center"/>
              <w:rPr>
                <w:rFonts w:hint="eastAsia" w:ascii="Calibri" w:hAnsi="Calibri"/>
                <w:color w:val="000000"/>
                <w:sz w:val="20"/>
                <w:szCs w:val="20"/>
              </w:rPr>
            </w:pPr>
            <w:r>
              <w:rPr>
                <w:rFonts w:hint="eastAsia" w:ascii="Calibri" w:hAnsi="Calibri"/>
                <w:color w:val="000000"/>
                <w:sz w:val="20"/>
                <w:szCs w:val="20"/>
              </w:rPr>
              <w:t>52.1</w:t>
            </w:r>
          </w:p>
        </w:tc>
      </w:tr>
      <w:tr>
        <w:tblPrEx>
          <w:tblCellMar>
            <w:top w:w="0" w:type="dxa"/>
            <w:left w:w="108" w:type="dxa"/>
            <w:bottom w:w="0" w:type="dxa"/>
            <w:right w:w="108" w:type="dxa"/>
          </w:tblCellMar>
        </w:tblPrEx>
        <w:trPr>
          <w:trHeight w:val="270" w:hRule="atLeast"/>
        </w:trPr>
        <w:tc>
          <w:tcPr>
            <w:tcW w:w="4445" w:type="dxa"/>
            <w:tcBorders>
              <w:top w:val="nil"/>
              <w:left w:val="nil"/>
              <w:bottom w:val="nil"/>
              <w:right w:val="nil"/>
            </w:tcBorders>
            <w:shd w:val="clear" w:color="000000" w:fill="BEEDF8"/>
            <w:noWrap/>
            <w:vAlign w:val="center"/>
          </w:tcPr>
          <w:p>
            <w:pPr>
              <w:spacing w:line="320" w:lineRule="exact"/>
              <w:jc w:val="left"/>
              <w:rPr>
                <w:rFonts w:hint="eastAsia" w:ascii="Calibri" w:hAnsi="Calibri"/>
                <w:color w:val="000000"/>
                <w:sz w:val="20"/>
                <w:szCs w:val="20"/>
              </w:rPr>
            </w:pPr>
            <w:r>
              <w:rPr>
                <w:rFonts w:hint="eastAsia" w:ascii="Calibri" w:hAnsi="Calibri"/>
                <w:color w:val="000000"/>
                <w:sz w:val="20"/>
                <w:szCs w:val="20"/>
              </w:rPr>
              <w:t>广东</w:t>
            </w:r>
          </w:p>
        </w:tc>
        <w:tc>
          <w:tcPr>
            <w:tcW w:w="4445" w:type="dxa"/>
            <w:tcBorders>
              <w:top w:val="nil"/>
              <w:left w:val="nil"/>
              <w:bottom w:val="nil"/>
              <w:right w:val="nil"/>
            </w:tcBorders>
            <w:shd w:val="clear" w:color="000000" w:fill="BEEDF8"/>
            <w:noWrap/>
            <w:vAlign w:val="center"/>
          </w:tcPr>
          <w:p>
            <w:pPr>
              <w:spacing w:line="320" w:lineRule="exact"/>
              <w:jc w:val="center"/>
              <w:rPr>
                <w:rFonts w:hint="eastAsia" w:ascii="Calibri" w:hAnsi="Calibri"/>
                <w:color w:val="000000"/>
                <w:sz w:val="20"/>
                <w:szCs w:val="20"/>
              </w:rPr>
            </w:pPr>
            <w:r>
              <w:rPr>
                <w:rFonts w:hint="eastAsia" w:ascii="Calibri" w:hAnsi="Calibri"/>
                <w:color w:val="000000"/>
                <w:sz w:val="20"/>
                <w:szCs w:val="20"/>
              </w:rPr>
              <w:t>29.9</w:t>
            </w:r>
          </w:p>
        </w:tc>
      </w:tr>
      <w:tr>
        <w:tblPrEx>
          <w:tblCellMar>
            <w:top w:w="0" w:type="dxa"/>
            <w:left w:w="108" w:type="dxa"/>
            <w:bottom w:w="0" w:type="dxa"/>
            <w:right w:w="108" w:type="dxa"/>
          </w:tblCellMar>
        </w:tblPrEx>
        <w:trPr>
          <w:trHeight w:val="270" w:hRule="atLeast"/>
        </w:trPr>
        <w:tc>
          <w:tcPr>
            <w:tcW w:w="4445" w:type="dxa"/>
            <w:tcBorders>
              <w:top w:val="nil"/>
              <w:left w:val="nil"/>
              <w:bottom w:val="nil"/>
              <w:right w:val="nil"/>
            </w:tcBorders>
            <w:shd w:val="clear" w:color="000000" w:fill="FFFFFF"/>
            <w:noWrap/>
            <w:vAlign w:val="center"/>
          </w:tcPr>
          <w:p>
            <w:pPr>
              <w:spacing w:line="320" w:lineRule="exact"/>
              <w:jc w:val="left"/>
              <w:rPr>
                <w:rFonts w:hint="eastAsia" w:ascii="Calibri" w:hAnsi="Calibri"/>
                <w:color w:val="000000"/>
                <w:sz w:val="20"/>
                <w:szCs w:val="20"/>
              </w:rPr>
            </w:pPr>
            <w:r>
              <w:rPr>
                <w:rFonts w:hint="eastAsia" w:ascii="Calibri" w:hAnsi="Calibri"/>
                <w:color w:val="000000"/>
                <w:sz w:val="20"/>
                <w:szCs w:val="20"/>
              </w:rPr>
              <w:t>四川</w:t>
            </w:r>
          </w:p>
        </w:tc>
        <w:tc>
          <w:tcPr>
            <w:tcW w:w="4445" w:type="dxa"/>
            <w:tcBorders>
              <w:top w:val="nil"/>
              <w:left w:val="nil"/>
              <w:bottom w:val="nil"/>
              <w:right w:val="nil"/>
            </w:tcBorders>
            <w:shd w:val="clear" w:color="000000" w:fill="FFFFFF"/>
            <w:noWrap/>
            <w:vAlign w:val="center"/>
          </w:tcPr>
          <w:p>
            <w:pPr>
              <w:spacing w:line="320" w:lineRule="exact"/>
              <w:jc w:val="center"/>
              <w:rPr>
                <w:rFonts w:hint="eastAsia" w:ascii="Calibri" w:hAnsi="Calibri"/>
                <w:color w:val="000000"/>
                <w:sz w:val="20"/>
                <w:szCs w:val="20"/>
              </w:rPr>
            </w:pPr>
            <w:r>
              <w:rPr>
                <w:rFonts w:hint="eastAsia" w:ascii="Calibri" w:hAnsi="Calibri"/>
                <w:color w:val="000000"/>
                <w:sz w:val="20"/>
                <w:szCs w:val="20"/>
              </w:rPr>
              <w:t>3.4</w:t>
            </w:r>
          </w:p>
        </w:tc>
      </w:tr>
      <w:tr>
        <w:tblPrEx>
          <w:tblCellMar>
            <w:top w:w="0" w:type="dxa"/>
            <w:left w:w="108" w:type="dxa"/>
            <w:bottom w:w="0" w:type="dxa"/>
            <w:right w:w="108" w:type="dxa"/>
          </w:tblCellMar>
        </w:tblPrEx>
        <w:trPr>
          <w:trHeight w:val="270" w:hRule="atLeast"/>
        </w:trPr>
        <w:tc>
          <w:tcPr>
            <w:tcW w:w="4445" w:type="dxa"/>
            <w:tcBorders>
              <w:top w:val="nil"/>
              <w:left w:val="nil"/>
              <w:bottom w:val="nil"/>
              <w:right w:val="nil"/>
            </w:tcBorders>
            <w:shd w:val="clear" w:color="000000" w:fill="BEEDF8"/>
            <w:noWrap/>
            <w:vAlign w:val="center"/>
          </w:tcPr>
          <w:p>
            <w:pPr>
              <w:spacing w:line="320" w:lineRule="exact"/>
              <w:jc w:val="left"/>
              <w:rPr>
                <w:rFonts w:hint="eastAsia" w:ascii="Calibri" w:hAnsi="Calibri"/>
                <w:color w:val="000000"/>
                <w:sz w:val="20"/>
                <w:szCs w:val="20"/>
              </w:rPr>
            </w:pPr>
            <w:r>
              <w:rPr>
                <w:rFonts w:hint="eastAsia" w:ascii="Calibri" w:hAnsi="Calibri"/>
                <w:color w:val="000000"/>
                <w:sz w:val="20"/>
                <w:szCs w:val="20"/>
              </w:rPr>
              <w:t>江西</w:t>
            </w:r>
          </w:p>
        </w:tc>
        <w:tc>
          <w:tcPr>
            <w:tcW w:w="4445" w:type="dxa"/>
            <w:tcBorders>
              <w:top w:val="nil"/>
              <w:left w:val="nil"/>
              <w:bottom w:val="nil"/>
              <w:right w:val="nil"/>
            </w:tcBorders>
            <w:shd w:val="clear" w:color="000000" w:fill="BEEDF8"/>
            <w:noWrap/>
            <w:vAlign w:val="center"/>
          </w:tcPr>
          <w:p>
            <w:pPr>
              <w:spacing w:line="320" w:lineRule="exact"/>
              <w:jc w:val="center"/>
              <w:rPr>
                <w:rFonts w:hint="eastAsia" w:ascii="Calibri" w:hAnsi="Calibri"/>
                <w:color w:val="000000"/>
                <w:sz w:val="20"/>
                <w:szCs w:val="20"/>
              </w:rPr>
            </w:pPr>
            <w:r>
              <w:rPr>
                <w:rFonts w:hint="eastAsia" w:ascii="Calibri" w:hAnsi="Calibri"/>
                <w:color w:val="000000"/>
                <w:sz w:val="20"/>
                <w:szCs w:val="20"/>
              </w:rPr>
              <w:t>2.4</w:t>
            </w:r>
          </w:p>
        </w:tc>
      </w:tr>
      <w:tr>
        <w:tblPrEx>
          <w:tblCellMar>
            <w:top w:w="0" w:type="dxa"/>
            <w:left w:w="108" w:type="dxa"/>
            <w:bottom w:w="0" w:type="dxa"/>
            <w:right w:w="108" w:type="dxa"/>
          </w:tblCellMar>
        </w:tblPrEx>
        <w:trPr>
          <w:trHeight w:val="270" w:hRule="atLeast"/>
        </w:trPr>
        <w:tc>
          <w:tcPr>
            <w:tcW w:w="4445" w:type="dxa"/>
            <w:tcBorders>
              <w:top w:val="nil"/>
              <w:left w:val="nil"/>
              <w:bottom w:val="nil"/>
              <w:right w:val="nil"/>
            </w:tcBorders>
            <w:shd w:val="clear" w:color="000000" w:fill="FFFFFF"/>
            <w:noWrap/>
            <w:vAlign w:val="center"/>
          </w:tcPr>
          <w:p>
            <w:pPr>
              <w:spacing w:line="320" w:lineRule="exact"/>
              <w:jc w:val="left"/>
              <w:rPr>
                <w:rFonts w:hint="eastAsia" w:ascii="Calibri" w:hAnsi="Calibri"/>
                <w:color w:val="000000"/>
                <w:sz w:val="20"/>
                <w:szCs w:val="20"/>
              </w:rPr>
            </w:pPr>
            <w:r>
              <w:rPr>
                <w:rFonts w:hint="eastAsia" w:ascii="Calibri" w:hAnsi="Calibri"/>
                <w:color w:val="000000"/>
                <w:sz w:val="20"/>
                <w:szCs w:val="20"/>
              </w:rPr>
              <w:t>云南</w:t>
            </w:r>
          </w:p>
        </w:tc>
        <w:tc>
          <w:tcPr>
            <w:tcW w:w="4445" w:type="dxa"/>
            <w:tcBorders>
              <w:top w:val="nil"/>
              <w:left w:val="nil"/>
              <w:bottom w:val="nil"/>
              <w:right w:val="nil"/>
            </w:tcBorders>
            <w:shd w:val="clear" w:color="000000" w:fill="FFFFFF"/>
            <w:noWrap/>
            <w:vAlign w:val="center"/>
          </w:tcPr>
          <w:p>
            <w:pPr>
              <w:spacing w:line="320" w:lineRule="exact"/>
              <w:jc w:val="center"/>
              <w:rPr>
                <w:rFonts w:hint="eastAsia" w:ascii="Calibri" w:hAnsi="Calibri"/>
                <w:color w:val="000000"/>
                <w:sz w:val="20"/>
                <w:szCs w:val="20"/>
              </w:rPr>
            </w:pPr>
            <w:r>
              <w:rPr>
                <w:rFonts w:hint="eastAsia" w:ascii="Calibri" w:hAnsi="Calibri"/>
                <w:color w:val="000000"/>
                <w:sz w:val="20"/>
                <w:szCs w:val="20"/>
              </w:rPr>
              <w:t>2.4</w:t>
            </w:r>
          </w:p>
        </w:tc>
      </w:tr>
      <w:tr>
        <w:tblPrEx>
          <w:tblCellMar>
            <w:top w:w="0" w:type="dxa"/>
            <w:left w:w="108" w:type="dxa"/>
            <w:bottom w:w="0" w:type="dxa"/>
            <w:right w:w="108" w:type="dxa"/>
          </w:tblCellMar>
        </w:tblPrEx>
        <w:trPr>
          <w:trHeight w:val="270" w:hRule="atLeast"/>
        </w:trPr>
        <w:tc>
          <w:tcPr>
            <w:tcW w:w="4445" w:type="dxa"/>
            <w:tcBorders>
              <w:top w:val="nil"/>
              <w:left w:val="nil"/>
              <w:bottom w:val="nil"/>
              <w:right w:val="nil"/>
            </w:tcBorders>
            <w:shd w:val="clear" w:color="000000" w:fill="BEEDF8"/>
            <w:noWrap/>
            <w:vAlign w:val="center"/>
          </w:tcPr>
          <w:p>
            <w:pPr>
              <w:spacing w:line="320" w:lineRule="exact"/>
              <w:jc w:val="left"/>
              <w:rPr>
                <w:rFonts w:hint="eastAsia" w:ascii="Calibri" w:hAnsi="Calibri"/>
                <w:color w:val="000000"/>
                <w:sz w:val="20"/>
                <w:szCs w:val="20"/>
              </w:rPr>
            </w:pPr>
            <w:r>
              <w:rPr>
                <w:rFonts w:hint="eastAsia" w:ascii="Calibri" w:hAnsi="Calibri"/>
                <w:color w:val="000000"/>
                <w:sz w:val="20"/>
                <w:szCs w:val="20"/>
              </w:rPr>
              <w:t>贵州</w:t>
            </w:r>
          </w:p>
        </w:tc>
        <w:tc>
          <w:tcPr>
            <w:tcW w:w="4445" w:type="dxa"/>
            <w:tcBorders>
              <w:top w:val="nil"/>
              <w:left w:val="nil"/>
              <w:bottom w:val="nil"/>
              <w:right w:val="nil"/>
            </w:tcBorders>
            <w:shd w:val="clear" w:color="000000" w:fill="BEEDF8"/>
            <w:noWrap/>
            <w:vAlign w:val="center"/>
          </w:tcPr>
          <w:p>
            <w:pPr>
              <w:spacing w:line="320" w:lineRule="exact"/>
              <w:jc w:val="center"/>
              <w:rPr>
                <w:rFonts w:hint="eastAsia" w:ascii="Calibri" w:hAnsi="Calibri"/>
                <w:color w:val="000000"/>
                <w:sz w:val="20"/>
                <w:szCs w:val="20"/>
              </w:rPr>
            </w:pPr>
            <w:r>
              <w:rPr>
                <w:rFonts w:hint="eastAsia" w:ascii="Calibri" w:hAnsi="Calibri"/>
                <w:color w:val="000000"/>
                <w:sz w:val="20"/>
                <w:szCs w:val="20"/>
              </w:rPr>
              <w:t>1.6</w:t>
            </w:r>
          </w:p>
        </w:tc>
      </w:tr>
      <w:tr>
        <w:tblPrEx>
          <w:tblCellMar>
            <w:top w:w="0" w:type="dxa"/>
            <w:left w:w="108" w:type="dxa"/>
            <w:bottom w:w="0" w:type="dxa"/>
            <w:right w:w="108" w:type="dxa"/>
          </w:tblCellMar>
        </w:tblPrEx>
        <w:trPr>
          <w:trHeight w:val="270" w:hRule="atLeast"/>
        </w:trPr>
        <w:tc>
          <w:tcPr>
            <w:tcW w:w="4445" w:type="dxa"/>
            <w:tcBorders>
              <w:top w:val="nil"/>
              <w:left w:val="nil"/>
              <w:bottom w:val="nil"/>
              <w:right w:val="nil"/>
            </w:tcBorders>
            <w:shd w:val="clear" w:color="000000" w:fill="FFFFFF"/>
            <w:noWrap/>
            <w:vAlign w:val="center"/>
          </w:tcPr>
          <w:p>
            <w:pPr>
              <w:spacing w:line="320" w:lineRule="exact"/>
              <w:jc w:val="left"/>
              <w:rPr>
                <w:rFonts w:hint="eastAsia" w:ascii="Calibri" w:hAnsi="Calibri"/>
                <w:color w:val="000000"/>
                <w:sz w:val="20"/>
                <w:szCs w:val="20"/>
              </w:rPr>
            </w:pPr>
            <w:r>
              <w:rPr>
                <w:rFonts w:hint="eastAsia" w:ascii="Calibri" w:hAnsi="Calibri"/>
                <w:color w:val="000000"/>
                <w:sz w:val="20"/>
                <w:szCs w:val="20"/>
              </w:rPr>
              <w:t>湖南</w:t>
            </w:r>
          </w:p>
        </w:tc>
        <w:tc>
          <w:tcPr>
            <w:tcW w:w="4445" w:type="dxa"/>
            <w:tcBorders>
              <w:top w:val="nil"/>
              <w:left w:val="nil"/>
              <w:bottom w:val="nil"/>
              <w:right w:val="nil"/>
            </w:tcBorders>
            <w:shd w:val="clear" w:color="000000" w:fill="FFFFFF"/>
            <w:noWrap/>
            <w:vAlign w:val="center"/>
          </w:tcPr>
          <w:p>
            <w:pPr>
              <w:spacing w:line="320" w:lineRule="exact"/>
              <w:jc w:val="center"/>
              <w:rPr>
                <w:rFonts w:hint="eastAsia" w:ascii="Calibri" w:hAnsi="Calibri"/>
                <w:color w:val="000000"/>
                <w:sz w:val="20"/>
                <w:szCs w:val="20"/>
              </w:rPr>
            </w:pPr>
            <w:r>
              <w:rPr>
                <w:rFonts w:hint="eastAsia" w:ascii="Calibri" w:hAnsi="Calibri"/>
                <w:color w:val="000000"/>
                <w:sz w:val="20"/>
                <w:szCs w:val="20"/>
              </w:rPr>
              <w:t>1.3</w:t>
            </w:r>
          </w:p>
        </w:tc>
      </w:tr>
      <w:tr>
        <w:tblPrEx>
          <w:tblCellMar>
            <w:top w:w="0" w:type="dxa"/>
            <w:left w:w="108" w:type="dxa"/>
            <w:bottom w:w="0" w:type="dxa"/>
            <w:right w:w="108" w:type="dxa"/>
          </w:tblCellMar>
        </w:tblPrEx>
        <w:trPr>
          <w:trHeight w:val="270" w:hRule="atLeast"/>
        </w:trPr>
        <w:tc>
          <w:tcPr>
            <w:tcW w:w="4445" w:type="dxa"/>
            <w:tcBorders>
              <w:top w:val="nil"/>
              <w:left w:val="nil"/>
              <w:bottom w:val="nil"/>
              <w:right w:val="nil"/>
            </w:tcBorders>
            <w:shd w:val="clear" w:color="000000" w:fill="BEEDF8"/>
            <w:noWrap/>
            <w:vAlign w:val="center"/>
          </w:tcPr>
          <w:p>
            <w:pPr>
              <w:spacing w:line="320" w:lineRule="exact"/>
              <w:jc w:val="left"/>
              <w:rPr>
                <w:rFonts w:hint="eastAsia" w:ascii="Calibri" w:hAnsi="Calibri"/>
                <w:color w:val="000000"/>
                <w:sz w:val="20"/>
                <w:szCs w:val="20"/>
              </w:rPr>
            </w:pPr>
            <w:r>
              <w:rPr>
                <w:rFonts w:hint="eastAsia" w:ascii="Calibri" w:hAnsi="Calibri"/>
                <w:color w:val="000000"/>
                <w:sz w:val="20"/>
                <w:szCs w:val="20"/>
              </w:rPr>
              <w:t>广西</w:t>
            </w:r>
          </w:p>
        </w:tc>
        <w:tc>
          <w:tcPr>
            <w:tcW w:w="4445" w:type="dxa"/>
            <w:tcBorders>
              <w:top w:val="nil"/>
              <w:left w:val="nil"/>
              <w:bottom w:val="nil"/>
              <w:right w:val="nil"/>
            </w:tcBorders>
            <w:shd w:val="clear" w:color="000000" w:fill="BEEDF8"/>
            <w:noWrap/>
            <w:vAlign w:val="center"/>
          </w:tcPr>
          <w:p>
            <w:pPr>
              <w:spacing w:line="320" w:lineRule="exact"/>
              <w:jc w:val="center"/>
              <w:rPr>
                <w:rFonts w:hint="eastAsia" w:ascii="Calibri" w:hAnsi="Calibri"/>
                <w:color w:val="000000"/>
                <w:sz w:val="20"/>
                <w:szCs w:val="20"/>
              </w:rPr>
            </w:pPr>
            <w:r>
              <w:rPr>
                <w:rFonts w:hint="eastAsia" w:ascii="Calibri" w:hAnsi="Calibri"/>
                <w:color w:val="000000"/>
                <w:sz w:val="20"/>
                <w:szCs w:val="20"/>
              </w:rPr>
              <w:t>1.0</w:t>
            </w:r>
          </w:p>
        </w:tc>
      </w:tr>
      <w:tr>
        <w:tblPrEx>
          <w:tblCellMar>
            <w:top w:w="0" w:type="dxa"/>
            <w:left w:w="108" w:type="dxa"/>
            <w:bottom w:w="0" w:type="dxa"/>
            <w:right w:w="108" w:type="dxa"/>
          </w:tblCellMar>
        </w:tblPrEx>
        <w:trPr>
          <w:trHeight w:val="270" w:hRule="atLeast"/>
        </w:trPr>
        <w:tc>
          <w:tcPr>
            <w:tcW w:w="4445" w:type="dxa"/>
            <w:tcBorders>
              <w:top w:val="nil"/>
              <w:left w:val="nil"/>
              <w:bottom w:val="nil"/>
              <w:right w:val="nil"/>
            </w:tcBorders>
            <w:shd w:val="clear" w:color="000000" w:fill="FFFFFF"/>
            <w:noWrap/>
            <w:vAlign w:val="center"/>
          </w:tcPr>
          <w:p>
            <w:pPr>
              <w:spacing w:line="320" w:lineRule="exact"/>
              <w:jc w:val="left"/>
              <w:rPr>
                <w:rFonts w:hint="eastAsia" w:ascii="Calibri" w:hAnsi="Calibri"/>
                <w:color w:val="000000"/>
                <w:sz w:val="20"/>
                <w:szCs w:val="20"/>
              </w:rPr>
            </w:pPr>
            <w:r>
              <w:rPr>
                <w:rFonts w:hint="eastAsia" w:ascii="Calibri" w:hAnsi="Calibri"/>
                <w:color w:val="000000"/>
                <w:sz w:val="20"/>
                <w:szCs w:val="20"/>
              </w:rPr>
              <w:t>浙江</w:t>
            </w:r>
          </w:p>
        </w:tc>
        <w:tc>
          <w:tcPr>
            <w:tcW w:w="4445" w:type="dxa"/>
            <w:tcBorders>
              <w:top w:val="nil"/>
              <w:left w:val="nil"/>
              <w:bottom w:val="nil"/>
              <w:right w:val="nil"/>
            </w:tcBorders>
            <w:shd w:val="clear" w:color="000000" w:fill="FFFFFF"/>
            <w:noWrap/>
            <w:vAlign w:val="center"/>
          </w:tcPr>
          <w:p>
            <w:pPr>
              <w:spacing w:line="320" w:lineRule="exact"/>
              <w:jc w:val="center"/>
              <w:rPr>
                <w:rFonts w:hint="eastAsia" w:ascii="Calibri" w:hAnsi="Calibri"/>
                <w:color w:val="000000"/>
                <w:sz w:val="20"/>
                <w:szCs w:val="20"/>
              </w:rPr>
            </w:pPr>
            <w:r>
              <w:rPr>
                <w:rFonts w:hint="eastAsia" w:ascii="Calibri" w:hAnsi="Calibri"/>
                <w:color w:val="000000"/>
                <w:sz w:val="20"/>
                <w:szCs w:val="20"/>
              </w:rPr>
              <w:t>0.8</w:t>
            </w:r>
          </w:p>
        </w:tc>
      </w:tr>
      <w:tr>
        <w:tblPrEx>
          <w:tblCellMar>
            <w:top w:w="0" w:type="dxa"/>
            <w:left w:w="108" w:type="dxa"/>
            <w:bottom w:w="0" w:type="dxa"/>
            <w:right w:w="108" w:type="dxa"/>
          </w:tblCellMar>
        </w:tblPrEx>
        <w:trPr>
          <w:trHeight w:val="270" w:hRule="atLeast"/>
        </w:trPr>
        <w:tc>
          <w:tcPr>
            <w:tcW w:w="4445" w:type="dxa"/>
            <w:tcBorders>
              <w:top w:val="nil"/>
              <w:left w:val="nil"/>
              <w:bottom w:val="nil"/>
              <w:right w:val="nil"/>
            </w:tcBorders>
            <w:shd w:val="clear" w:color="000000" w:fill="BEEDF8"/>
            <w:noWrap/>
            <w:vAlign w:val="center"/>
          </w:tcPr>
          <w:p>
            <w:pPr>
              <w:spacing w:line="320" w:lineRule="exact"/>
              <w:jc w:val="left"/>
              <w:rPr>
                <w:rFonts w:hint="eastAsia" w:ascii="Calibri" w:hAnsi="Calibri"/>
                <w:color w:val="000000"/>
                <w:sz w:val="20"/>
                <w:szCs w:val="20"/>
              </w:rPr>
            </w:pPr>
            <w:r>
              <w:rPr>
                <w:rFonts w:hint="eastAsia" w:ascii="Calibri" w:hAnsi="Calibri"/>
                <w:color w:val="000000"/>
                <w:sz w:val="20"/>
                <w:szCs w:val="20"/>
              </w:rPr>
              <w:t>河南</w:t>
            </w:r>
          </w:p>
        </w:tc>
        <w:tc>
          <w:tcPr>
            <w:tcW w:w="4445" w:type="dxa"/>
            <w:tcBorders>
              <w:top w:val="nil"/>
              <w:left w:val="nil"/>
              <w:bottom w:val="nil"/>
              <w:right w:val="nil"/>
            </w:tcBorders>
            <w:shd w:val="clear" w:color="000000" w:fill="BEEDF8"/>
            <w:noWrap/>
            <w:vAlign w:val="center"/>
          </w:tcPr>
          <w:p>
            <w:pPr>
              <w:spacing w:line="320" w:lineRule="exact"/>
              <w:jc w:val="center"/>
              <w:rPr>
                <w:rFonts w:hint="eastAsia" w:ascii="Calibri" w:hAnsi="Calibri"/>
                <w:color w:val="000000"/>
                <w:sz w:val="20"/>
                <w:szCs w:val="20"/>
              </w:rPr>
            </w:pPr>
            <w:r>
              <w:rPr>
                <w:rFonts w:hint="eastAsia" w:ascii="Calibri" w:hAnsi="Calibri"/>
                <w:color w:val="000000"/>
                <w:sz w:val="20"/>
                <w:szCs w:val="20"/>
              </w:rPr>
              <w:t>0.8</w:t>
            </w:r>
          </w:p>
        </w:tc>
      </w:tr>
      <w:tr>
        <w:tblPrEx>
          <w:tblCellMar>
            <w:top w:w="0" w:type="dxa"/>
            <w:left w:w="108" w:type="dxa"/>
            <w:bottom w:w="0" w:type="dxa"/>
            <w:right w:w="108" w:type="dxa"/>
          </w:tblCellMar>
        </w:tblPrEx>
        <w:trPr>
          <w:trHeight w:val="270" w:hRule="atLeast"/>
        </w:trPr>
        <w:tc>
          <w:tcPr>
            <w:tcW w:w="4445" w:type="dxa"/>
            <w:tcBorders>
              <w:top w:val="nil"/>
              <w:left w:val="nil"/>
              <w:bottom w:val="nil"/>
              <w:right w:val="nil"/>
            </w:tcBorders>
            <w:shd w:val="clear" w:color="000000" w:fill="FFFFFF"/>
            <w:noWrap/>
            <w:vAlign w:val="center"/>
          </w:tcPr>
          <w:p>
            <w:pPr>
              <w:spacing w:line="320" w:lineRule="exact"/>
              <w:jc w:val="left"/>
              <w:rPr>
                <w:rFonts w:hint="eastAsia" w:ascii="Calibri" w:hAnsi="Calibri"/>
                <w:color w:val="000000"/>
                <w:sz w:val="20"/>
                <w:szCs w:val="20"/>
              </w:rPr>
            </w:pPr>
            <w:r>
              <w:rPr>
                <w:rFonts w:hint="eastAsia" w:ascii="Calibri" w:hAnsi="Calibri"/>
                <w:color w:val="000000"/>
                <w:sz w:val="20"/>
                <w:szCs w:val="20"/>
              </w:rPr>
              <w:t>陕西</w:t>
            </w:r>
          </w:p>
        </w:tc>
        <w:tc>
          <w:tcPr>
            <w:tcW w:w="4445" w:type="dxa"/>
            <w:tcBorders>
              <w:top w:val="nil"/>
              <w:left w:val="nil"/>
              <w:bottom w:val="nil"/>
              <w:right w:val="nil"/>
            </w:tcBorders>
            <w:shd w:val="clear" w:color="000000" w:fill="FFFFFF"/>
            <w:noWrap/>
            <w:vAlign w:val="center"/>
          </w:tcPr>
          <w:p>
            <w:pPr>
              <w:spacing w:line="320" w:lineRule="exact"/>
              <w:jc w:val="center"/>
              <w:rPr>
                <w:rFonts w:hint="eastAsia" w:ascii="Calibri" w:hAnsi="Calibri"/>
                <w:color w:val="000000"/>
                <w:sz w:val="20"/>
                <w:szCs w:val="20"/>
              </w:rPr>
            </w:pPr>
            <w:r>
              <w:rPr>
                <w:rFonts w:hint="eastAsia" w:ascii="Calibri" w:hAnsi="Calibri"/>
                <w:color w:val="000000"/>
                <w:sz w:val="20"/>
                <w:szCs w:val="20"/>
              </w:rPr>
              <w:t>0.6</w:t>
            </w:r>
          </w:p>
        </w:tc>
      </w:tr>
      <w:tr>
        <w:tblPrEx>
          <w:tblCellMar>
            <w:top w:w="0" w:type="dxa"/>
            <w:left w:w="108" w:type="dxa"/>
            <w:bottom w:w="0" w:type="dxa"/>
            <w:right w:w="108" w:type="dxa"/>
          </w:tblCellMar>
        </w:tblPrEx>
        <w:trPr>
          <w:trHeight w:val="270" w:hRule="atLeast"/>
        </w:trPr>
        <w:tc>
          <w:tcPr>
            <w:tcW w:w="4445" w:type="dxa"/>
            <w:tcBorders>
              <w:top w:val="nil"/>
              <w:left w:val="nil"/>
              <w:bottom w:val="nil"/>
              <w:right w:val="nil"/>
            </w:tcBorders>
            <w:shd w:val="clear" w:color="000000" w:fill="BEEDF8"/>
            <w:noWrap/>
            <w:vAlign w:val="center"/>
          </w:tcPr>
          <w:p>
            <w:pPr>
              <w:spacing w:line="320" w:lineRule="exact"/>
              <w:jc w:val="left"/>
              <w:rPr>
                <w:rFonts w:hint="eastAsia" w:ascii="Calibri" w:hAnsi="Calibri"/>
                <w:color w:val="000000"/>
                <w:sz w:val="20"/>
                <w:szCs w:val="20"/>
              </w:rPr>
            </w:pPr>
            <w:r>
              <w:rPr>
                <w:rFonts w:hint="eastAsia" w:ascii="Calibri" w:hAnsi="Calibri"/>
                <w:color w:val="000000"/>
                <w:sz w:val="20"/>
                <w:szCs w:val="20"/>
              </w:rPr>
              <w:t>重庆</w:t>
            </w:r>
          </w:p>
        </w:tc>
        <w:tc>
          <w:tcPr>
            <w:tcW w:w="4445" w:type="dxa"/>
            <w:tcBorders>
              <w:top w:val="nil"/>
              <w:left w:val="nil"/>
              <w:bottom w:val="nil"/>
              <w:right w:val="nil"/>
            </w:tcBorders>
            <w:shd w:val="clear" w:color="000000" w:fill="BEEDF8"/>
            <w:noWrap/>
            <w:vAlign w:val="center"/>
          </w:tcPr>
          <w:p>
            <w:pPr>
              <w:spacing w:line="320" w:lineRule="exact"/>
              <w:jc w:val="center"/>
              <w:rPr>
                <w:rFonts w:hint="eastAsia" w:ascii="Calibri" w:hAnsi="Calibri"/>
                <w:color w:val="000000"/>
                <w:sz w:val="20"/>
                <w:szCs w:val="20"/>
              </w:rPr>
            </w:pPr>
            <w:r>
              <w:rPr>
                <w:rFonts w:hint="eastAsia" w:ascii="Calibri" w:hAnsi="Calibri"/>
                <w:color w:val="000000"/>
                <w:sz w:val="20"/>
                <w:szCs w:val="20"/>
              </w:rPr>
              <w:t>0.6</w:t>
            </w:r>
          </w:p>
        </w:tc>
      </w:tr>
      <w:tr>
        <w:tblPrEx>
          <w:tblCellMar>
            <w:top w:w="0" w:type="dxa"/>
            <w:left w:w="108" w:type="dxa"/>
            <w:bottom w:w="0" w:type="dxa"/>
            <w:right w:w="108" w:type="dxa"/>
          </w:tblCellMar>
        </w:tblPrEx>
        <w:trPr>
          <w:trHeight w:val="270" w:hRule="atLeast"/>
        </w:trPr>
        <w:tc>
          <w:tcPr>
            <w:tcW w:w="4445" w:type="dxa"/>
            <w:tcBorders>
              <w:top w:val="nil"/>
              <w:left w:val="nil"/>
              <w:bottom w:val="nil"/>
              <w:right w:val="nil"/>
            </w:tcBorders>
            <w:shd w:val="clear" w:color="000000" w:fill="FFFFFF"/>
            <w:noWrap/>
            <w:vAlign w:val="center"/>
          </w:tcPr>
          <w:p>
            <w:pPr>
              <w:spacing w:line="320" w:lineRule="exact"/>
              <w:jc w:val="left"/>
              <w:rPr>
                <w:rFonts w:hint="eastAsia" w:ascii="Calibri" w:hAnsi="Calibri"/>
                <w:color w:val="000000"/>
                <w:sz w:val="20"/>
                <w:szCs w:val="20"/>
              </w:rPr>
            </w:pPr>
            <w:r>
              <w:rPr>
                <w:rFonts w:hint="eastAsia" w:ascii="Calibri" w:hAnsi="Calibri"/>
                <w:color w:val="000000"/>
                <w:sz w:val="20"/>
                <w:szCs w:val="20"/>
              </w:rPr>
              <w:t>吉林</w:t>
            </w:r>
          </w:p>
        </w:tc>
        <w:tc>
          <w:tcPr>
            <w:tcW w:w="4445" w:type="dxa"/>
            <w:tcBorders>
              <w:top w:val="nil"/>
              <w:left w:val="nil"/>
              <w:bottom w:val="nil"/>
              <w:right w:val="nil"/>
            </w:tcBorders>
            <w:shd w:val="clear" w:color="000000" w:fill="FFFFFF"/>
            <w:noWrap/>
            <w:vAlign w:val="center"/>
          </w:tcPr>
          <w:p>
            <w:pPr>
              <w:spacing w:line="320" w:lineRule="exact"/>
              <w:jc w:val="center"/>
              <w:rPr>
                <w:rFonts w:hint="eastAsia" w:ascii="Calibri" w:hAnsi="Calibri"/>
                <w:color w:val="000000"/>
                <w:sz w:val="20"/>
                <w:szCs w:val="20"/>
              </w:rPr>
            </w:pPr>
            <w:r>
              <w:rPr>
                <w:rFonts w:hint="eastAsia" w:ascii="Calibri" w:hAnsi="Calibri"/>
                <w:color w:val="000000"/>
                <w:sz w:val="20"/>
                <w:szCs w:val="20"/>
              </w:rPr>
              <w:t>0.5</w:t>
            </w:r>
          </w:p>
        </w:tc>
      </w:tr>
      <w:tr>
        <w:tblPrEx>
          <w:tblCellMar>
            <w:top w:w="0" w:type="dxa"/>
            <w:left w:w="108" w:type="dxa"/>
            <w:bottom w:w="0" w:type="dxa"/>
            <w:right w:w="108" w:type="dxa"/>
          </w:tblCellMar>
        </w:tblPrEx>
        <w:trPr>
          <w:trHeight w:val="270" w:hRule="atLeast"/>
        </w:trPr>
        <w:tc>
          <w:tcPr>
            <w:tcW w:w="4445" w:type="dxa"/>
            <w:tcBorders>
              <w:top w:val="nil"/>
              <w:left w:val="nil"/>
              <w:bottom w:val="nil"/>
              <w:right w:val="nil"/>
            </w:tcBorders>
            <w:shd w:val="clear" w:color="000000" w:fill="BEEDF8"/>
            <w:noWrap/>
            <w:vAlign w:val="center"/>
          </w:tcPr>
          <w:p>
            <w:pPr>
              <w:spacing w:line="320" w:lineRule="exact"/>
              <w:jc w:val="left"/>
              <w:rPr>
                <w:rFonts w:hint="eastAsia" w:ascii="Calibri" w:hAnsi="Calibri"/>
                <w:color w:val="000000"/>
                <w:sz w:val="20"/>
                <w:szCs w:val="20"/>
              </w:rPr>
            </w:pPr>
            <w:r>
              <w:rPr>
                <w:rFonts w:hint="eastAsia" w:ascii="Calibri" w:hAnsi="Calibri"/>
                <w:color w:val="000000"/>
                <w:sz w:val="20"/>
                <w:szCs w:val="20"/>
              </w:rPr>
              <w:t>黑龙江</w:t>
            </w:r>
          </w:p>
        </w:tc>
        <w:tc>
          <w:tcPr>
            <w:tcW w:w="4445" w:type="dxa"/>
            <w:tcBorders>
              <w:top w:val="nil"/>
              <w:left w:val="nil"/>
              <w:bottom w:val="nil"/>
              <w:right w:val="nil"/>
            </w:tcBorders>
            <w:shd w:val="clear" w:color="000000" w:fill="BEEDF8"/>
            <w:noWrap/>
            <w:vAlign w:val="center"/>
          </w:tcPr>
          <w:p>
            <w:pPr>
              <w:spacing w:line="320" w:lineRule="exact"/>
              <w:jc w:val="center"/>
              <w:rPr>
                <w:rFonts w:hint="eastAsia" w:ascii="Calibri" w:hAnsi="Calibri"/>
                <w:color w:val="000000"/>
                <w:sz w:val="20"/>
                <w:szCs w:val="20"/>
              </w:rPr>
            </w:pPr>
            <w:r>
              <w:rPr>
                <w:rFonts w:hint="eastAsia" w:ascii="Calibri" w:hAnsi="Calibri"/>
                <w:color w:val="000000"/>
                <w:sz w:val="20"/>
                <w:szCs w:val="20"/>
              </w:rPr>
              <w:t>0.5</w:t>
            </w:r>
          </w:p>
        </w:tc>
      </w:tr>
      <w:tr>
        <w:tblPrEx>
          <w:tblCellMar>
            <w:top w:w="0" w:type="dxa"/>
            <w:left w:w="108" w:type="dxa"/>
            <w:bottom w:w="0" w:type="dxa"/>
            <w:right w:w="108" w:type="dxa"/>
          </w:tblCellMar>
        </w:tblPrEx>
        <w:trPr>
          <w:trHeight w:val="270" w:hRule="atLeast"/>
        </w:trPr>
        <w:tc>
          <w:tcPr>
            <w:tcW w:w="4445" w:type="dxa"/>
            <w:tcBorders>
              <w:top w:val="nil"/>
              <w:left w:val="nil"/>
              <w:bottom w:val="nil"/>
              <w:right w:val="nil"/>
            </w:tcBorders>
            <w:shd w:val="clear" w:color="000000" w:fill="FFFFFF"/>
            <w:noWrap/>
            <w:vAlign w:val="center"/>
          </w:tcPr>
          <w:p>
            <w:pPr>
              <w:spacing w:line="320" w:lineRule="exact"/>
              <w:jc w:val="left"/>
              <w:rPr>
                <w:rFonts w:hint="eastAsia" w:ascii="Calibri" w:hAnsi="Calibri"/>
                <w:color w:val="000000"/>
                <w:sz w:val="20"/>
                <w:szCs w:val="20"/>
              </w:rPr>
            </w:pPr>
            <w:r>
              <w:rPr>
                <w:rFonts w:hint="eastAsia" w:ascii="Calibri" w:hAnsi="Calibri"/>
                <w:color w:val="000000"/>
                <w:sz w:val="20"/>
                <w:szCs w:val="20"/>
              </w:rPr>
              <w:t>福建</w:t>
            </w:r>
          </w:p>
        </w:tc>
        <w:tc>
          <w:tcPr>
            <w:tcW w:w="4445" w:type="dxa"/>
            <w:tcBorders>
              <w:top w:val="nil"/>
              <w:left w:val="nil"/>
              <w:bottom w:val="nil"/>
              <w:right w:val="nil"/>
            </w:tcBorders>
            <w:shd w:val="clear" w:color="000000" w:fill="FFFFFF"/>
            <w:noWrap/>
            <w:vAlign w:val="center"/>
          </w:tcPr>
          <w:p>
            <w:pPr>
              <w:spacing w:line="320" w:lineRule="exact"/>
              <w:jc w:val="center"/>
              <w:rPr>
                <w:rFonts w:hint="eastAsia" w:ascii="Calibri" w:hAnsi="Calibri"/>
                <w:color w:val="000000"/>
                <w:sz w:val="20"/>
                <w:szCs w:val="20"/>
              </w:rPr>
            </w:pPr>
            <w:r>
              <w:rPr>
                <w:rFonts w:hint="eastAsia" w:ascii="Calibri" w:hAnsi="Calibri"/>
                <w:color w:val="000000"/>
                <w:sz w:val="20"/>
                <w:szCs w:val="20"/>
              </w:rPr>
              <w:t>0.5</w:t>
            </w:r>
          </w:p>
        </w:tc>
      </w:tr>
      <w:tr>
        <w:tblPrEx>
          <w:tblCellMar>
            <w:top w:w="0" w:type="dxa"/>
            <w:left w:w="108" w:type="dxa"/>
            <w:bottom w:w="0" w:type="dxa"/>
            <w:right w:w="108" w:type="dxa"/>
          </w:tblCellMar>
        </w:tblPrEx>
        <w:trPr>
          <w:trHeight w:val="270" w:hRule="atLeast"/>
        </w:trPr>
        <w:tc>
          <w:tcPr>
            <w:tcW w:w="4445" w:type="dxa"/>
            <w:tcBorders>
              <w:top w:val="nil"/>
              <w:left w:val="nil"/>
              <w:bottom w:val="nil"/>
              <w:right w:val="nil"/>
            </w:tcBorders>
            <w:shd w:val="clear" w:color="000000" w:fill="BEEDF8"/>
            <w:noWrap/>
            <w:vAlign w:val="center"/>
          </w:tcPr>
          <w:p>
            <w:pPr>
              <w:spacing w:line="320" w:lineRule="exact"/>
              <w:jc w:val="left"/>
              <w:rPr>
                <w:rFonts w:hint="eastAsia" w:ascii="Calibri" w:hAnsi="Calibri"/>
                <w:color w:val="000000"/>
                <w:sz w:val="20"/>
                <w:szCs w:val="20"/>
              </w:rPr>
            </w:pPr>
            <w:r>
              <w:rPr>
                <w:rFonts w:hint="eastAsia" w:ascii="Calibri" w:hAnsi="Calibri"/>
                <w:color w:val="000000"/>
                <w:sz w:val="20"/>
                <w:szCs w:val="20"/>
              </w:rPr>
              <w:t>安徽</w:t>
            </w:r>
          </w:p>
        </w:tc>
        <w:tc>
          <w:tcPr>
            <w:tcW w:w="4445" w:type="dxa"/>
            <w:tcBorders>
              <w:top w:val="nil"/>
              <w:left w:val="nil"/>
              <w:bottom w:val="nil"/>
              <w:right w:val="nil"/>
            </w:tcBorders>
            <w:shd w:val="clear" w:color="000000" w:fill="BEEDF8"/>
            <w:noWrap/>
            <w:vAlign w:val="center"/>
          </w:tcPr>
          <w:p>
            <w:pPr>
              <w:spacing w:line="320" w:lineRule="exact"/>
              <w:jc w:val="center"/>
              <w:rPr>
                <w:rFonts w:hint="eastAsia" w:ascii="Calibri" w:hAnsi="Calibri"/>
                <w:color w:val="000000"/>
                <w:sz w:val="20"/>
                <w:szCs w:val="20"/>
              </w:rPr>
            </w:pPr>
            <w:r>
              <w:rPr>
                <w:rFonts w:hint="eastAsia" w:ascii="Calibri" w:hAnsi="Calibri"/>
                <w:color w:val="000000"/>
                <w:sz w:val="20"/>
                <w:szCs w:val="20"/>
              </w:rPr>
              <w:t>0.4</w:t>
            </w:r>
          </w:p>
        </w:tc>
      </w:tr>
      <w:tr>
        <w:tblPrEx>
          <w:tblCellMar>
            <w:top w:w="0" w:type="dxa"/>
            <w:left w:w="108" w:type="dxa"/>
            <w:bottom w:w="0" w:type="dxa"/>
            <w:right w:w="108" w:type="dxa"/>
          </w:tblCellMar>
        </w:tblPrEx>
        <w:trPr>
          <w:trHeight w:val="270" w:hRule="atLeast"/>
        </w:trPr>
        <w:tc>
          <w:tcPr>
            <w:tcW w:w="4445" w:type="dxa"/>
            <w:tcBorders>
              <w:top w:val="nil"/>
              <w:left w:val="nil"/>
              <w:bottom w:val="nil"/>
              <w:right w:val="nil"/>
            </w:tcBorders>
            <w:shd w:val="clear" w:color="000000" w:fill="FFFFFF"/>
            <w:noWrap/>
            <w:vAlign w:val="center"/>
          </w:tcPr>
          <w:p>
            <w:pPr>
              <w:spacing w:line="320" w:lineRule="exact"/>
              <w:jc w:val="left"/>
              <w:rPr>
                <w:rFonts w:hint="eastAsia" w:ascii="Calibri" w:hAnsi="Calibri"/>
                <w:color w:val="000000"/>
                <w:sz w:val="20"/>
                <w:szCs w:val="20"/>
              </w:rPr>
            </w:pPr>
            <w:r>
              <w:rPr>
                <w:rFonts w:hint="eastAsia" w:ascii="Calibri" w:hAnsi="Calibri"/>
                <w:color w:val="000000"/>
                <w:sz w:val="20"/>
                <w:szCs w:val="20"/>
              </w:rPr>
              <w:t>河北</w:t>
            </w:r>
          </w:p>
        </w:tc>
        <w:tc>
          <w:tcPr>
            <w:tcW w:w="4445" w:type="dxa"/>
            <w:tcBorders>
              <w:top w:val="nil"/>
              <w:left w:val="nil"/>
              <w:bottom w:val="nil"/>
              <w:right w:val="nil"/>
            </w:tcBorders>
            <w:shd w:val="clear" w:color="000000" w:fill="FFFFFF"/>
            <w:noWrap/>
            <w:vAlign w:val="center"/>
          </w:tcPr>
          <w:p>
            <w:pPr>
              <w:spacing w:line="320" w:lineRule="exact"/>
              <w:jc w:val="center"/>
              <w:rPr>
                <w:rFonts w:hint="eastAsia" w:ascii="Calibri" w:hAnsi="Calibri"/>
                <w:color w:val="000000"/>
                <w:sz w:val="20"/>
                <w:szCs w:val="20"/>
              </w:rPr>
            </w:pPr>
            <w:r>
              <w:rPr>
                <w:rFonts w:hint="eastAsia" w:ascii="Calibri" w:hAnsi="Calibri"/>
                <w:color w:val="000000"/>
                <w:sz w:val="20"/>
                <w:szCs w:val="20"/>
              </w:rPr>
              <w:t>0.4</w:t>
            </w:r>
          </w:p>
        </w:tc>
      </w:tr>
      <w:tr>
        <w:tblPrEx>
          <w:tblCellMar>
            <w:top w:w="0" w:type="dxa"/>
            <w:left w:w="108" w:type="dxa"/>
            <w:bottom w:w="0" w:type="dxa"/>
            <w:right w:w="108" w:type="dxa"/>
          </w:tblCellMar>
        </w:tblPrEx>
        <w:trPr>
          <w:trHeight w:val="270" w:hRule="atLeast"/>
        </w:trPr>
        <w:tc>
          <w:tcPr>
            <w:tcW w:w="4445" w:type="dxa"/>
            <w:tcBorders>
              <w:top w:val="nil"/>
              <w:left w:val="nil"/>
              <w:bottom w:val="nil"/>
              <w:right w:val="nil"/>
            </w:tcBorders>
            <w:shd w:val="clear" w:color="000000" w:fill="BEEDF8"/>
            <w:noWrap/>
            <w:vAlign w:val="center"/>
          </w:tcPr>
          <w:p>
            <w:pPr>
              <w:spacing w:line="320" w:lineRule="exact"/>
              <w:jc w:val="left"/>
              <w:rPr>
                <w:rFonts w:hint="eastAsia" w:ascii="Calibri" w:hAnsi="Calibri"/>
                <w:color w:val="000000"/>
                <w:sz w:val="20"/>
                <w:szCs w:val="20"/>
              </w:rPr>
            </w:pPr>
            <w:r>
              <w:rPr>
                <w:rFonts w:hint="eastAsia" w:ascii="Calibri" w:hAnsi="Calibri"/>
                <w:color w:val="000000"/>
                <w:sz w:val="20"/>
                <w:szCs w:val="20"/>
              </w:rPr>
              <w:t>山西</w:t>
            </w:r>
          </w:p>
        </w:tc>
        <w:tc>
          <w:tcPr>
            <w:tcW w:w="4445" w:type="dxa"/>
            <w:tcBorders>
              <w:top w:val="nil"/>
              <w:left w:val="nil"/>
              <w:bottom w:val="nil"/>
              <w:right w:val="nil"/>
            </w:tcBorders>
            <w:shd w:val="clear" w:color="000000" w:fill="BEEDF8"/>
            <w:noWrap/>
            <w:vAlign w:val="center"/>
          </w:tcPr>
          <w:p>
            <w:pPr>
              <w:spacing w:line="320" w:lineRule="exact"/>
              <w:jc w:val="center"/>
              <w:rPr>
                <w:rFonts w:hint="eastAsia" w:ascii="Calibri" w:hAnsi="Calibri"/>
                <w:color w:val="000000"/>
                <w:sz w:val="20"/>
                <w:szCs w:val="20"/>
              </w:rPr>
            </w:pPr>
            <w:r>
              <w:rPr>
                <w:rFonts w:hint="eastAsia" w:ascii="Calibri" w:hAnsi="Calibri"/>
                <w:color w:val="000000"/>
                <w:sz w:val="20"/>
                <w:szCs w:val="20"/>
              </w:rPr>
              <w:t>0.3</w:t>
            </w:r>
          </w:p>
        </w:tc>
      </w:tr>
      <w:tr>
        <w:tblPrEx>
          <w:tblCellMar>
            <w:top w:w="0" w:type="dxa"/>
            <w:left w:w="108" w:type="dxa"/>
            <w:bottom w:w="0" w:type="dxa"/>
            <w:right w:w="108" w:type="dxa"/>
          </w:tblCellMar>
        </w:tblPrEx>
        <w:trPr>
          <w:trHeight w:val="270" w:hRule="atLeast"/>
        </w:trPr>
        <w:tc>
          <w:tcPr>
            <w:tcW w:w="4445" w:type="dxa"/>
            <w:tcBorders>
              <w:top w:val="nil"/>
              <w:left w:val="nil"/>
              <w:bottom w:val="nil"/>
              <w:right w:val="nil"/>
            </w:tcBorders>
            <w:shd w:val="clear" w:color="000000" w:fill="FFFFFF"/>
            <w:noWrap/>
            <w:vAlign w:val="center"/>
          </w:tcPr>
          <w:p>
            <w:pPr>
              <w:spacing w:line="320" w:lineRule="exact"/>
              <w:jc w:val="left"/>
              <w:rPr>
                <w:rFonts w:hint="eastAsia" w:ascii="Calibri" w:hAnsi="Calibri"/>
                <w:color w:val="000000"/>
                <w:sz w:val="20"/>
                <w:szCs w:val="20"/>
              </w:rPr>
            </w:pPr>
            <w:r>
              <w:rPr>
                <w:rFonts w:hint="eastAsia" w:ascii="Calibri" w:hAnsi="Calibri"/>
                <w:color w:val="000000"/>
                <w:sz w:val="20"/>
                <w:szCs w:val="20"/>
              </w:rPr>
              <w:t>湖北</w:t>
            </w:r>
          </w:p>
        </w:tc>
        <w:tc>
          <w:tcPr>
            <w:tcW w:w="4445" w:type="dxa"/>
            <w:tcBorders>
              <w:top w:val="nil"/>
              <w:left w:val="nil"/>
              <w:bottom w:val="nil"/>
              <w:right w:val="nil"/>
            </w:tcBorders>
            <w:shd w:val="clear" w:color="000000" w:fill="FFFFFF"/>
            <w:noWrap/>
            <w:vAlign w:val="center"/>
          </w:tcPr>
          <w:p>
            <w:pPr>
              <w:spacing w:line="320" w:lineRule="exact"/>
              <w:jc w:val="center"/>
              <w:rPr>
                <w:rFonts w:hint="eastAsia" w:ascii="Calibri" w:hAnsi="Calibri"/>
                <w:color w:val="000000"/>
                <w:sz w:val="20"/>
                <w:szCs w:val="20"/>
              </w:rPr>
            </w:pPr>
            <w:r>
              <w:rPr>
                <w:rFonts w:hint="eastAsia" w:ascii="Calibri" w:hAnsi="Calibri"/>
                <w:color w:val="000000"/>
                <w:sz w:val="20"/>
                <w:szCs w:val="20"/>
              </w:rPr>
              <w:t>0.3</w:t>
            </w:r>
          </w:p>
        </w:tc>
      </w:tr>
      <w:tr>
        <w:tblPrEx>
          <w:tblCellMar>
            <w:top w:w="0" w:type="dxa"/>
            <w:left w:w="108" w:type="dxa"/>
            <w:bottom w:w="0" w:type="dxa"/>
            <w:right w:w="108" w:type="dxa"/>
          </w:tblCellMar>
        </w:tblPrEx>
        <w:trPr>
          <w:trHeight w:val="270" w:hRule="atLeast"/>
        </w:trPr>
        <w:tc>
          <w:tcPr>
            <w:tcW w:w="4445" w:type="dxa"/>
            <w:tcBorders>
              <w:top w:val="nil"/>
              <w:left w:val="nil"/>
              <w:bottom w:val="nil"/>
              <w:right w:val="nil"/>
            </w:tcBorders>
            <w:shd w:val="clear" w:color="000000" w:fill="BEEDF8"/>
            <w:noWrap/>
            <w:vAlign w:val="center"/>
          </w:tcPr>
          <w:p>
            <w:pPr>
              <w:spacing w:line="320" w:lineRule="exact"/>
              <w:jc w:val="left"/>
              <w:rPr>
                <w:rFonts w:hint="eastAsia" w:ascii="Calibri" w:hAnsi="Calibri"/>
                <w:color w:val="000000"/>
                <w:sz w:val="20"/>
                <w:szCs w:val="20"/>
              </w:rPr>
            </w:pPr>
            <w:r>
              <w:rPr>
                <w:rFonts w:hint="eastAsia" w:ascii="Calibri" w:hAnsi="Calibri"/>
                <w:color w:val="000000"/>
                <w:sz w:val="20"/>
                <w:szCs w:val="20"/>
              </w:rPr>
              <w:t>新疆</w:t>
            </w:r>
          </w:p>
        </w:tc>
        <w:tc>
          <w:tcPr>
            <w:tcW w:w="4445" w:type="dxa"/>
            <w:tcBorders>
              <w:top w:val="nil"/>
              <w:left w:val="nil"/>
              <w:bottom w:val="nil"/>
              <w:right w:val="nil"/>
            </w:tcBorders>
            <w:shd w:val="clear" w:color="000000" w:fill="BEEDF8"/>
            <w:noWrap/>
            <w:vAlign w:val="center"/>
          </w:tcPr>
          <w:p>
            <w:pPr>
              <w:spacing w:line="320" w:lineRule="exact"/>
              <w:jc w:val="center"/>
              <w:rPr>
                <w:rFonts w:hint="eastAsia" w:ascii="Calibri" w:hAnsi="Calibri"/>
                <w:color w:val="000000"/>
                <w:sz w:val="20"/>
                <w:szCs w:val="20"/>
              </w:rPr>
            </w:pPr>
            <w:r>
              <w:rPr>
                <w:rFonts w:hint="eastAsia" w:ascii="Calibri" w:hAnsi="Calibri"/>
                <w:color w:val="000000"/>
                <w:sz w:val="20"/>
                <w:szCs w:val="20"/>
              </w:rPr>
              <w:t>0.1</w:t>
            </w:r>
          </w:p>
        </w:tc>
      </w:tr>
      <w:tr>
        <w:tblPrEx>
          <w:tblCellMar>
            <w:top w:w="0" w:type="dxa"/>
            <w:left w:w="108" w:type="dxa"/>
            <w:bottom w:w="0" w:type="dxa"/>
            <w:right w:w="108" w:type="dxa"/>
          </w:tblCellMar>
        </w:tblPrEx>
        <w:trPr>
          <w:trHeight w:val="270" w:hRule="atLeast"/>
        </w:trPr>
        <w:tc>
          <w:tcPr>
            <w:tcW w:w="4445" w:type="dxa"/>
            <w:tcBorders>
              <w:top w:val="nil"/>
              <w:left w:val="nil"/>
              <w:bottom w:val="nil"/>
              <w:right w:val="nil"/>
            </w:tcBorders>
            <w:shd w:val="clear" w:color="000000" w:fill="FFFFFF"/>
            <w:noWrap/>
            <w:vAlign w:val="center"/>
          </w:tcPr>
          <w:p>
            <w:pPr>
              <w:spacing w:line="320" w:lineRule="exact"/>
              <w:jc w:val="left"/>
              <w:rPr>
                <w:rFonts w:hint="eastAsia" w:ascii="Calibri" w:hAnsi="Calibri"/>
                <w:color w:val="000000"/>
                <w:sz w:val="20"/>
                <w:szCs w:val="20"/>
              </w:rPr>
            </w:pPr>
            <w:r>
              <w:rPr>
                <w:rFonts w:hint="eastAsia" w:ascii="Calibri" w:hAnsi="Calibri"/>
                <w:color w:val="000000"/>
                <w:sz w:val="20"/>
                <w:szCs w:val="20"/>
              </w:rPr>
              <w:t>甘肃</w:t>
            </w:r>
          </w:p>
        </w:tc>
        <w:tc>
          <w:tcPr>
            <w:tcW w:w="4445" w:type="dxa"/>
            <w:tcBorders>
              <w:top w:val="nil"/>
              <w:left w:val="nil"/>
              <w:bottom w:val="nil"/>
              <w:right w:val="nil"/>
            </w:tcBorders>
            <w:shd w:val="clear" w:color="000000" w:fill="FFFFFF"/>
            <w:noWrap/>
            <w:vAlign w:val="center"/>
          </w:tcPr>
          <w:p>
            <w:pPr>
              <w:spacing w:line="320" w:lineRule="exact"/>
              <w:jc w:val="center"/>
              <w:rPr>
                <w:rFonts w:hint="eastAsia" w:ascii="Calibri" w:hAnsi="Calibri"/>
                <w:color w:val="000000"/>
                <w:sz w:val="20"/>
                <w:szCs w:val="20"/>
              </w:rPr>
            </w:pPr>
            <w:r>
              <w:rPr>
                <w:rFonts w:hint="eastAsia" w:ascii="Calibri" w:hAnsi="Calibri"/>
                <w:color w:val="000000"/>
                <w:sz w:val="20"/>
                <w:szCs w:val="20"/>
              </w:rPr>
              <w:t>0.1</w:t>
            </w:r>
          </w:p>
        </w:tc>
      </w:tr>
      <w:tr>
        <w:tblPrEx>
          <w:tblCellMar>
            <w:top w:w="0" w:type="dxa"/>
            <w:left w:w="108" w:type="dxa"/>
            <w:bottom w:w="0" w:type="dxa"/>
            <w:right w:w="108" w:type="dxa"/>
          </w:tblCellMar>
        </w:tblPrEx>
        <w:trPr>
          <w:trHeight w:val="285" w:hRule="atLeast"/>
        </w:trPr>
        <w:tc>
          <w:tcPr>
            <w:tcW w:w="4445" w:type="dxa"/>
            <w:tcBorders>
              <w:top w:val="nil"/>
              <w:left w:val="nil"/>
              <w:bottom w:val="single" w:color="57B8E7" w:sz="12" w:space="0"/>
              <w:right w:val="nil"/>
            </w:tcBorders>
            <w:shd w:val="clear" w:color="000000" w:fill="BEEDF8"/>
            <w:noWrap/>
            <w:vAlign w:val="center"/>
          </w:tcPr>
          <w:p>
            <w:pPr>
              <w:spacing w:line="320" w:lineRule="exact"/>
              <w:jc w:val="left"/>
              <w:rPr>
                <w:rFonts w:hint="eastAsia" w:ascii="Calibri" w:hAnsi="Calibri"/>
                <w:color w:val="000000"/>
                <w:sz w:val="20"/>
                <w:szCs w:val="20"/>
              </w:rPr>
            </w:pPr>
            <w:r>
              <w:rPr>
                <w:rFonts w:hint="eastAsia" w:ascii="Calibri" w:hAnsi="Calibri"/>
                <w:color w:val="000000"/>
                <w:sz w:val="20"/>
                <w:szCs w:val="20"/>
              </w:rPr>
              <w:t>上海</w:t>
            </w:r>
          </w:p>
        </w:tc>
        <w:tc>
          <w:tcPr>
            <w:tcW w:w="4445" w:type="dxa"/>
            <w:tcBorders>
              <w:top w:val="nil"/>
              <w:left w:val="nil"/>
              <w:bottom w:val="single" w:color="57B8E7" w:sz="12" w:space="0"/>
              <w:right w:val="nil"/>
            </w:tcBorders>
            <w:shd w:val="clear" w:color="000000" w:fill="BEEDF8"/>
            <w:noWrap/>
            <w:vAlign w:val="center"/>
          </w:tcPr>
          <w:p>
            <w:pPr>
              <w:spacing w:line="320" w:lineRule="exact"/>
              <w:jc w:val="center"/>
              <w:rPr>
                <w:rFonts w:hint="eastAsia" w:ascii="Calibri" w:hAnsi="Calibri"/>
                <w:color w:val="000000"/>
                <w:sz w:val="20"/>
                <w:szCs w:val="20"/>
              </w:rPr>
            </w:pPr>
            <w:r>
              <w:rPr>
                <w:rFonts w:hint="eastAsia" w:ascii="Calibri" w:hAnsi="Calibri"/>
                <w:color w:val="000000"/>
                <w:sz w:val="20"/>
                <w:szCs w:val="20"/>
              </w:rPr>
              <w:t>0.1</w:t>
            </w:r>
          </w:p>
        </w:tc>
      </w:tr>
    </w:tbl>
    <w:p>
      <w:pPr>
        <w:jc w:val="left"/>
        <w:rPr>
          <w:rFonts w:hint="eastAsia" w:asciiTheme="minorEastAsia" w:hAnsiTheme="minorEastAsia" w:eastAsiaTheme="minorEastAsia" w:cstheme="minorEastAsia"/>
          <w:color w:val="000000"/>
          <w:sz w:val="21"/>
          <w:szCs w:val="32"/>
        </w:rPr>
        <w:sectPr>
          <w:footerReference r:id="rId4" w:type="default"/>
          <w:footnotePr>
            <w:numRestart w:val="eachSect"/>
          </w:footnotePr>
          <w:pgSz w:w="11906" w:h="16838"/>
          <w:pgMar w:top="1985" w:right="1531" w:bottom="1701" w:left="1701" w:header="964" w:footer="851" w:gutter="0"/>
          <w:pgNumType w:fmt="decimal" w:start="1"/>
          <w:cols w:space="425" w:num="1"/>
          <w:docGrid w:linePitch="312" w:charSpace="0"/>
        </w:sectPr>
      </w:pPr>
      <w:r>
        <w:rPr>
          <w:rFonts w:hint="eastAsia" w:asciiTheme="minorEastAsia" w:hAnsiTheme="minorEastAsia" w:eastAsiaTheme="minorEastAsia" w:cstheme="minorEastAsia"/>
          <w:color w:val="000000"/>
          <w:sz w:val="21"/>
          <w:szCs w:val="32"/>
        </w:rPr>
        <w:t>数据来源：麦可思-海南外国语职业学院2019届毕业生培养质量评价数据</w:t>
      </w:r>
    </w:p>
    <w:p>
      <w:pPr>
        <w:rPr>
          <w:rFonts w:ascii="宋体" w:hAnsi="宋体"/>
          <w:sz w:val="24"/>
        </w:rPr>
      </w:pPr>
    </w:p>
    <w:p>
      <w:pPr>
        <w:pStyle w:val="3"/>
        <w:bidi w:val="0"/>
        <w:ind w:left="0" w:leftChars="0" w:firstLine="0" w:firstLineChars="0"/>
      </w:pPr>
      <w:bookmarkStart w:id="30" w:name="_Toc17044"/>
      <w:bookmarkStart w:id="31" w:name="_Toc4289_WPSOffice_Level2"/>
      <w:bookmarkStart w:id="32" w:name="_Toc25877_WPSOffice_Level2"/>
      <w:bookmarkStart w:id="33" w:name="_Toc532230090"/>
      <w:bookmarkStart w:id="34" w:name="_Toc7924"/>
      <w:r>
        <w:rPr>
          <w:rFonts w:hint="eastAsia"/>
        </w:rPr>
        <w:t>毕业生就业率及去向</w:t>
      </w:r>
      <w:bookmarkEnd w:id="30"/>
      <w:bookmarkEnd w:id="31"/>
      <w:bookmarkEnd w:id="32"/>
      <w:bookmarkEnd w:id="33"/>
      <w:bookmarkEnd w:id="34"/>
    </w:p>
    <w:p>
      <w:pPr>
        <w:rPr>
          <w:color w:val="FF0000"/>
        </w:rPr>
      </w:pPr>
    </w:p>
    <w:p>
      <w:pPr>
        <w:pStyle w:val="4"/>
        <w:bidi w:val="0"/>
      </w:pPr>
      <w:bookmarkStart w:id="35" w:name="_Toc31593"/>
      <w:bookmarkStart w:id="36" w:name="_Toc26694_WPSOffice_Level3"/>
      <w:bookmarkStart w:id="37" w:name="_Toc17219"/>
      <w:bookmarkStart w:id="38" w:name="_Toc532230091"/>
      <w:bookmarkStart w:id="39" w:name="_Toc433031957"/>
      <w:bookmarkStart w:id="40" w:name="_Toc28004"/>
      <w:bookmarkStart w:id="41" w:name="_Toc17907"/>
      <w:bookmarkStart w:id="42" w:name="_Toc8482"/>
      <w:bookmarkStart w:id="43" w:name="_Toc361240086"/>
      <w:bookmarkStart w:id="44" w:name="_Toc349149141"/>
      <w:bookmarkStart w:id="45" w:name="_Toc326843127"/>
      <w:bookmarkStart w:id="46" w:name="_Toc353284475"/>
      <w:bookmarkStart w:id="47" w:name="_Toc335984912"/>
      <w:bookmarkStart w:id="48" w:name="_Toc336243712"/>
      <w:bookmarkStart w:id="49" w:name="_Toc361124921"/>
      <w:bookmarkStart w:id="50" w:name="_Toc344474736"/>
      <w:bookmarkStart w:id="51" w:name="_Toc345503390"/>
      <w:bookmarkStart w:id="52" w:name="_Toc338944255"/>
      <w:bookmarkStart w:id="53" w:name="_Toc361135021"/>
      <w:bookmarkStart w:id="54" w:name="_Toc361229784"/>
      <w:bookmarkStart w:id="55" w:name="_Toc350271610"/>
      <w:r>
        <w:rPr>
          <w:rFonts w:hint="eastAsia"/>
        </w:rPr>
        <w:t>毕业生的就业率</w:t>
      </w:r>
      <w:bookmarkEnd w:id="35"/>
      <w:bookmarkEnd w:id="36"/>
      <w:bookmarkEnd w:id="37"/>
      <w:bookmarkEnd w:id="38"/>
      <w:bookmarkEnd w:id="39"/>
      <w:bookmarkEnd w:id="40"/>
      <w:bookmarkEnd w:id="41"/>
      <w:bookmarkEnd w:id="42"/>
    </w:p>
    <w:p>
      <w:pPr>
        <w:pStyle w:val="6"/>
        <w:bidi w:val="0"/>
      </w:pPr>
      <w:r>
        <w:rPr>
          <w:rFonts w:hint="eastAsia"/>
        </w:rPr>
        <w:t>1. 毕业生的</w:t>
      </w:r>
      <w:bookmarkEnd w:id="43"/>
      <w:bookmarkEnd w:id="44"/>
      <w:bookmarkEnd w:id="45"/>
      <w:bookmarkEnd w:id="46"/>
      <w:bookmarkEnd w:id="47"/>
      <w:bookmarkEnd w:id="48"/>
      <w:bookmarkEnd w:id="49"/>
      <w:bookmarkEnd w:id="50"/>
      <w:bookmarkEnd w:id="51"/>
      <w:bookmarkEnd w:id="52"/>
      <w:bookmarkEnd w:id="53"/>
      <w:bookmarkEnd w:id="54"/>
      <w:bookmarkEnd w:id="55"/>
      <w:r>
        <w:t>就业率</w:t>
      </w:r>
    </w:p>
    <w:p>
      <w:pPr>
        <w:pStyle w:val="7"/>
        <w:bidi w:val="0"/>
        <w:rPr>
          <w:rFonts w:hint="eastAsia"/>
        </w:rPr>
      </w:pPr>
      <w:r>
        <w:rPr>
          <w:rFonts w:hint="eastAsia"/>
        </w:rPr>
        <w:t>截止到201</w:t>
      </w:r>
      <w:r>
        <w:rPr>
          <w:rFonts w:hint="eastAsia"/>
          <w:lang w:val="en-US" w:eastAsia="zh-CN"/>
        </w:rPr>
        <w:t>9</w:t>
      </w:r>
      <w:r>
        <w:rPr>
          <w:rFonts w:hint="eastAsia"/>
        </w:rPr>
        <w:t>年12月</w:t>
      </w:r>
      <w:r>
        <w:rPr>
          <w:rFonts w:hint="eastAsia"/>
          <w:lang w:val="en-US" w:eastAsia="zh-CN"/>
        </w:rPr>
        <w:t>26</w:t>
      </w:r>
      <w:r>
        <w:rPr>
          <w:rFonts w:hint="eastAsia"/>
        </w:rPr>
        <w:t>日，我院201</w:t>
      </w:r>
      <w:r>
        <w:rPr>
          <w:rFonts w:hint="eastAsia"/>
          <w:lang w:val="en-US" w:eastAsia="zh-CN"/>
        </w:rPr>
        <w:t>9</w:t>
      </w:r>
      <w:r>
        <w:rPr>
          <w:rFonts w:hint="eastAsia"/>
        </w:rPr>
        <w:t>届毕业生就业人数为1</w:t>
      </w:r>
      <w:r>
        <w:rPr>
          <w:rFonts w:hint="eastAsia"/>
          <w:lang w:val="en-US" w:eastAsia="zh-CN"/>
        </w:rPr>
        <w:t>738</w:t>
      </w:r>
      <w:r>
        <w:rPr>
          <w:rFonts w:hint="eastAsia"/>
        </w:rPr>
        <w:t>人，就业率为</w:t>
      </w:r>
      <w:r>
        <w:rPr>
          <w:rFonts w:hint="eastAsia"/>
          <w:lang w:val="en-US" w:eastAsia="zh-CN"/>
        </w:rPr>
        <w:t>94.92</w:t>
      </w:r>
      <w:r>
        <w:rPr>
          <w:rFonts w:hint="eastAsia"/>
        </w:rPr>
        <w:t>%；待就业人数为</w:t>
      </w:r>
      <w:r>
        <w:rPr>
          <w:rFonts w:hint="eastAsia"/>
          <w:lang w:val="en-US" w:eastAsia="zh-CN"/>
        </w:rPr>
        <w:t>93</w:t>
      </w:r>
      <w:r>
        <w:rPr>
          <w:rFonts w:hint="eastAsia"/>
        </w:rPr>
        <w:t>人，占毕业生总人数的</w:t>
      </w:r>
      <w:r>
        <w:rPr>
          <w:rFonts w:hint="eastAsia"/>
          <w:lang w:val="en-US" w:eastAsia="zh-CN"/>
        </w:rPr>
        <w:t>5.08</w:t>
      </w:r>
      <w:r>
        <w:rPr>
          <w:rFonts w:hint="eastAsia"/>
        </w:rPr>
        <w:t>%。</w:t>
      </w:r>
    </w:p>
    <w:p>
      <w:pPr>
        <w:ind w:firstLine="420"/>
        <w:rPr>
          <w:rFonts w:hint="eastAsia" w:ascii="Calibri" w:hAnsi="宋体" w:cs="Arial"/>
          <w:color w:val="FF0000"/>
          <w:kern w:val="0"/>
          <w:szCs w:val="21"/>
        </w:rPr>
      </w:pPr>
    </w:p>
    <w:p>
      <w:pPr>
        <w:spacing w:line="360" w:lineRule="auto"/>
        <w:ind w:firstLine="420"/>
        <w:rPr>
          <w:rFonts w:ascii="Calibri" w:hAnsi="宋体" w:cs="Arial"/>
          <w:kern w:val="0"/>
          <w:szCs w:val="21"/>
        </w:rPr>
      </w:pPr>
      <w:r>
        <w:rPr>
          <w:rFonts w:ascii="Calibri" w:hAnsi="宋体" w:cs="Arial"/>
          <w:kern w:val="0"/>
          <w:szCs w:val="21"/>
        </w:rPr>
        <w:drawing>
          <wp:inline distT="0" distB="0" distL="0" distR="0">
            <wp:extent cx="5253355" cy="1849755"/>
            <wp:effectExtent l="4445" t="4445" r="19050" b="12700"/>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pStyle w:val="8"/>
        <w:numPr>
          <w:ilvl w:val="0"/>
          <w:numId w:val="0"/>
        </w:numPr>
        <w:spacing w:line="360" w:lineRule="auto"/>
        <w:jc w:val="center"/>
        <w:rPr>
          <w:rFonts w:hint="eastAsia" w:asciiTheme="minorEastAsia" w:hAnsiTheme="minorEastAsia" w:eastAsiaTheme="minorEastAsia" w:cstheme="minorEastAsia"/>
          <w:b/>
          <w:bCs/>
          <w:kern w:val="2"/>
          <w:sz w:val="21"/>
          <w:szCs w:val="21"/>
          <w:lang w:val="en-US" w:eastAsia="zh-CN" w:bidi="ar-SA"/>
        </w:rPr>
      </w:pPr>
      <w:r>
        <w:rPr>
          <w:rFonts w:hint="eastAsia" w:asciiTheme="minorEastAsia" w:hAnsiTheme="minorEastAsia" w:eastAsiaTheme="minorEastAsia" w:cstheme="minorEastAsia"/>
          <w:b/>
          <w:bCs/>
          <w:kern w:val="2"/>
          <w:sz w:val="21"/>
          <w:szCs w:val="21"/>
          <w:lang w:val="en-US" w:eastAsia="zh-CN" w:bidi="ar-SA"/>
        </w:rPr>
        <w:t>图1-1  毕业生的就业率</w:t>
      </w:r>
    </w:p>
    <w:p>
      <w:pPr>
        <w:jc w:val="left"/>
        <w:rPr>
          <w:rFonts w:hint="eastAsia" w:asciiTheme="minorEastAsia" w:hAnsiTheme="minorEastAsia" w:eastAsiaTheme="minorEastAsia" w:cstheme="minorEastAsia"/>
          <w:color w:val="000000"/>
          <w:sz w:val="21"/>
          <w:szCs w:val="32"/>
        </w:rPr>
      </w:pPr>
      <w:r>
        <w:rPr>
          <w:rFonts w:hint="eastAsia" w:asciiTheme="minorEastAsia" w:hAnsiTheme="minorEastAsia" w:eastAsiaTheme="minorEastAsia" w:cstheme="minorEastAsia"/>
          <w:color w:val="000000"/>
          <w:sz w:val="21"/>
          <w:szCs w:val="32"/>
        </w:rPr>
        <w:t>数据来源：海南外国语职业学院201</w:t>
      </w:r>
      <w:r>
        <w:rPr>
          <w:rFonts w:hint="eastAsia" w:asciiTheme="minorEastAsia" w:hAnsiTheme="minorEastAsia" w:eastAsiaTheme="minorEastAsia" w:cstheme="minorEastAsia"/>
          <w:color w:val="000000"/>
          <w:sz w:val="21"/>
          <w:szCs w:val="32"/>
          <w:lang w:val="en-US" w:eastAsia="zh-CN"/>
        </w:rPr>
        <w:t>9</w:t>
      </w:r>
      <w:r>
        <w:rPr>
          <w:rFonts w:hint="eastAsia" w:asciiTheme="minorEastAsia" w:hAnsiTheme="minorEastAsia" w:eastAsiaTheme="minorEastAsia" w:cstheme="minorEastAsia"/>
          <w:color w:val="000000"/>
          <w:sz w:val="21"/>
          <w:szCs w:val="32"/>
        </w:rPr>
        <w:t>届毕业生就业监测系统数据</w:t>
      </w:r>
      <w:r>
        <w:rPr>
          <w:rFonts w:hint="eastAsia" w:asciiTheme="minorEastAsia" w:hAnsiTheme="minorEastAsia" w:eastAsiaTheme="minorEastAsia" w:cstheme="minorEastAsia"/>
          <w:color w:val="000000"/>
          <w:sz w:val="21"/>
          <w:szCs w:val="32"/>
          <w:lang w:eastAsia="zh-CN"/>
        </w:rPr>
        <w:t>（截止至</w:t>
      </w:r>
      <w:r>
        <w:rPr>
          <w:rFonts w:hint="eastAsia" w:asciiTheme="minorEastAsia" w:hAnsiTheme="minorEastAsia" w:eastAsiaTheme="minorEastAsia" w:cstheme="minorEastAsia"/>
          <w:color w:val="000000"/>
          <w:sz w:val="21"/>
          <w:szCs w:val="32"/>
          <w:lang w:val="en-US" w:eastAsia="zh-CN"/>
        </w:rPr>
        <w:t>2019年12月26日</w:t>
      </w:r>
      <w:r>
        <w:rPr>
          <w:rFonts w:hint="eastAsia" w:asciiTheme="minorEastAsia" w:hAnsiTheme="minorEastAsia" w:eastAsiaTheme="minorEastAsia" w:cstheme="minorEastAsia"/>
          <w:color w:val="000000"/>
          <w:sz w:val="21"/>
          <w:szCs w:val="32"/>
          <w:lang w:eastAsia="zh-CN"/>
        </w:rPr>
        <w:t>）</w:t>
      </w:r>
      <w:r>
        <w:rPr>
          <w:rFonts w:hint="eastAsia" w:asciiTheme="minorEastAsia" w:hAnsiTheme="minorEastAsia" w:eastAsiaTheme="minorEastAsia" w:cstheme="minorEastAsia"/>
          <w:color w:val="000000"/>
          <w:sz w:val="21"/>
          <w:szCs w:val="32"/>
        </w:rPr>
        <w:t>。</w:t>
      </w:r>
    </w:p>
    <w:p>
      <w:pPr>
        <w:jc w:val="left"/>
        <w:rPr>
          <w:rFonts w:ascii="Calibri" w:hAnsi="Calibri" w:cs="Calibri"/>
          <w:color w:val="FF0000"/>
          <w:kern w:val="0"/>
          <w:sz w:val="18"/>
        </w:rPr>
      </w:pPr>
    </w:p>
    <w:p>
      <w:pPr>
        <w:pStyle w:val="6"/>
        <w:numPr>
          <w:ilvl w:val="0"/>
          <w:numId w:val="0"/>
        </w:numPr>
        <w:bidi w:val="0"/>
        <w:rPr>
          <w:rFonts w:hint="eastAsia"/>
          <w:lang w:eastAsia="zh-CN"/>
        </w:rPr>
      </w:pPr>
    </w:p>
    <w:p>
      <w:pPr>
        <w:pStyle w:val="6"/>
        <w:numPr>
          <w:ilvl w:val="0"/>
          <w:numId w:val="0"/>
        </w:numPr>
        <w:bidi w:val="0"/>
        <w:rPr>
          <w:rFonts w:hint="eastAsia"/>
          <w:lang w:eastAsia="zh-CN"/>
        </w:rPr>
      </w:pPr>
    </w:p>
    <w:p>
      <w:pPr>
        <w:pStyle w:val="6"/>
        <w:numPr>
          <w:ilvl w:val="0"/>
          <w:numId w:val="0"/>
        </w:numPr>
        <w:bidi w:val="0"/>
        <w:rPr>
          <w:rFonts w:hint="eastAsia"/>
          <w:lang w:eastAsia="zh-CN"/>
        </w:rPr>
      </w:pPr>
    </w:p>
    <w:p>
      <w:pPr>
        <w:pStyle w:val="6"/>
        <w:numPr>
          <w:ilvl w:val="0"/>
          <w:numId w:val="0"/>
        </w:numPr>
        <w:bidi w:val="0"/>
        <w:rPr>
          <w:rFonts w:hint="eastAsia"/>
          <w:lang w:eastAsia="zh-CN"/>
        </w:rPr>
      </w:pPr>
    </w:p>
    <w:p>
      <w:pPr>
        <w:pStyle w:val="6"/>
        <w:numPr>
          <w:ilvl w:val="0"/>
          <w:numId w:val="0"/>
        </w:numPr>
        <w:bidi w:val="0"/>
        <w:rPr>
          <w:rFonts w:hint="eastAsia"/>
          <w:lang w:eastAsia="zh-CN"/>
        </w:rPr>
      </w:pPr>
    </w:p>
    <w:p>
      <w:pPr>
        <w:pStyle w:val="6"/>
        <w:numPr>
          <w:ilvl w:val="0"/>
          <w:numId w:val="0"/>
        </w:numPr>
        <w:bidi w:val="0"/>
        <w:rPr>
          <w:rFonts w:hint="eastAsia"/>
          <w:lang w:eastAsia="zh-CN"/>
        </w:rPr>
      </w:pPr>
    </w:p>
    <w:p>
      <w:pPr>
        <w:pStyle w:val="6"/>
        <w:numPr>
          <w:ilvl w:val="0"/>
          <w:numId w:val="0"/>
        </w:numPr>
        <w:bidi w:val="0"/>
        <w:rPr>
          <w:rFonts w:hint="eastAsia"/>
          <w:lang w:eastAsia="zh-CN"/>
        </w:rPr>
      </w:pPr>
    </w:p>
    <w:p>
      <w:pPr>
        <w:pStyle w:val="6"/>
        <w:numPr>
          <w:ilvl w:val="0"/>
          <w:numId w:val="2"/>
        </w:numPr>
        <w:bidi w:val="0"/>
      </w:pPr>
      <w:r>
        <w:rPr>
          <w:rFonts w:hint="eastAsia"/>
          <w:lang w:eastAsia="zh-CN"/>
        </w:rPr>
        <w:t>不同生源</w:t>
      </w:r>
      <w:r>
        <w:rPr>
          <w:rFonts w:hint="eastAsia"/>
        </w:rPr>
        <w:t>毕业生的就业率</w:t>
      </w:r>
    </w:p>
    <w:p>
      <w:pPr>
        <w:pStyle w:val="7"/>
        <w:bidi w:val="0"/>
      </w:pPr>
      <w:r>
        <w:t>本校201</w:t>
      </w:r>
      <w:r>
        <w:rPr>
          <w:rFonts w:hint="eastAsia"/>
          <w:lang w:val="en-US" w:eastAsia="zh-CN"/>
        </w:rPr>
        <w:t>9</w:t>
      </w:r>
      <w:r>
        <w:t>届毕业生中</w:t>
      </w:r>
      <w:r>
        <w:rPr>
          <w:rFonts w:hint="eastAsia"/>
        </w:rPr>
        <w:t>，</w:t>
      </w:r>
      <w:r>
        <w:t>本省生源毕业生的就业率为</w:t>
      </w:r>
      <w:r>
        <w:rPr>
          <w:rFonts w:hint="eastAsia"/>
          <w:lang w:val="en-US" w:eastAsia="zh-CN"/>
        </w:rPr>
        <w:t>94.1</w:t>
      </w:r>
      <w:r>
        <w:rPr>
          <w:rFonts w:hint="eastAsia"/>
        </w:rPr>
        <w:t>%，外省生源</w:t>
      </w:r>
      <w:r>
        <w:t>毕业生的就业率</w:t>
      </w:r>
      <w:r>
        <w:rPr>
          <w:rFonts w:hint="eastAsia"/>
        </w:rPr>
        <w:t>为</w:t>
      </w:r>
      <w:r>
        <w:rPr>
          <w:rFonts w:hint="eastAsia"/>
          <w:lang w:val="en-US" w:eastAsia="zh-CN"/>
        </w:rPr>
        <w:t>96.1</w:t>
      </w:r>
      <w:r>
        <w:rPr>
          <w:rFonts w:hint="eastAsia"/>
        </w:rPr>
        <w:t>%。</w:t>
      </w:r>
    </w:p>
    <w:p>
      <w:pPr>
        <w:spacing w:line="360" w:lineRule="auto"/>
        <w:rPr>
          <w:rFonts w:ascii="Calibri" w:hAnsi="Calibri"/>
        </w:rPr>
      </w:pPr>
      <w:r>
        <w:rPr>
          <w:rFonts w:hint="eastAsia" w:ascii="Calibri" w:hAnsi="Calibri"/>
        </w:rPr>
        <w:t xml:space="preserve">   </w:t>
      </w:r>
      <w:r>
        <w:rPr>
          <w:rFonts w:hint="eastAsia" w:ascii="Calibri" w:hAnsi="Calibri"/>
        </w:rPr>
        <w:drawing>
          <wp:inline distT="0" distB="0" distL="114300" distR="114300">
            <wp:extent cx="5080000" cy="2276475"/>
            <wp:effectExtent l="4445" t="4445" r="20955" b="5080"/>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pPr>
        <w:pStyle w:val="8"/>
        <w:numPr>
          <w:ilvl w:val="0"/>
          <w:numId w:val="0"/>
        </w:numPr>
        <w:spacing w:line="360" w:lineRule="auto"/>
        <w:jc w:val="center"/>
        <w:rPr>
          <w:rFonts w:hint="eastAsia" w:asciiTheme="minorEastAsia" w:hAnsiTheme="minorEastAsia" w:eastAsiaTheme="minorEastAsia" w:cstheme="minorEastAsia"/>
          <w:b/>
          <w:bCs/>
          <w:kern w:val="2"/>
          <w:sz w:val="21"/>
          <w:szCs w:val="21"/>
          <w:lang w:val="en-US" w:eastAsia="zh-CN" w:bidi="ar-SA"/>
        </w:rPr>
      </w:pPr>
      <w:r>
        <w:rPr>
          <w:rFonts w:hint="eastAsia" w:asciiTheme="minorEastAsia" w:hAnsiTheme="minorEastAsia" w:eastAsiaTheme="minorEastAsia" w:cstheme="minorEastAsia"/>
          <w:b/>
          <w:bCs/>
          <w:kern w:val="2"/>
          <w:sz w:val="21"/>
          <w:szCs w:val="21"/>
          <w:lang w:val="en-US" w:eastAsia="zh-CN" w:bidi="ar-SA"/>
        </w:rPr>
        <w:t>图 1-2本省及外省生源毕业生的就业率</w:t>
      </w:r>
    </w:p>
    <w:p>
      <w:pPr>
        <w:jc w:val="left"/>
        <w:rPr>
          <w:rFonts w:hint="eastAsia" w:asciiTheme="minorEastAsia" w:hAnsiTheme="minorEastAsia" w:eastAsiaTheme="minorEastAsia" w:cstheme="minorEastAsia"/>
          <w:color w:val="000000"/>
          <w:sz w:val="21"/>
          <w:szCs w:val="32"/>
        </w:rPr>
      </w:pPr>
      <w:bookmarkStart w:id="56" w:name="本省及外省生源毕业生的就业率"/>
      <w:bookmarkEnd w:id="56"/>
      <w:r>
        <w:rPr>
          <w:rFonts w:hint="eastAsia" w:asciiTheme="minorEastAsia" w:hAnsiTheme="minorEastAsia" w:eastAsiaTheme="minorEastAsia" w:cstheme="minorEastAsia"/>
          <w:color w:val="000000"/>
          <w:sz w:val="21"/>
          <w:szCs w:val="32"/>
        </w:rPr>
        <w:t>数据来源：海南外国语职业学院201</w:t>
      </w:r>
      <w:r>
        <w:rPr>
          <w:rFonts w:hint="eastAsia" w:asciiTheme="minorEastAsia" w:hAnsiTheme="minorEastAsia" w:eastAsiaTheme="minorEastAsia" w:cstheme="minorEastAsia"/>
          <w:color w:val="000000"/>
          <w:sz w:val="21"/>
          <w:szCs w:val="32"/>
          <w:lang w:val="en-US" w:eastAsia="zh-CN"/>
        </w:rPr>
        <w:t>9</w:t>
      </w:r>
      <w:r>
        <w:rPr>
          <w:rFonts w:hint="eastAsia" w:asciiTheme="minorEastAsia" w:hAnsiTheme="minorEastAsia" w:eastAsiaTheme="minorEastAsia" w:cstheme="minorEastAsia"/>
          <w:color w:val="000000"/>
          <w:sz w:val="21"/>
          <w:szCs w:val="32"/>
        </w:rPr>
        <w:t>届毕业生就业监测系统数据</w:t>
      </w:r>
      <w:r>
        <w:rPr>
          <w:rFonts w:hint="eastAsia" w:asciiTheme="minorEastAsia" w:hAnsiTheme="minorEastAsia" w:eastAsiaTheme="minorEastAsia" w:cstheme="minorEastAsia"/>
          <w:color w:val="000000"/>
          <w:sz w:val="21"/>
          <w:szCs w:val="32"/>
          <w:lang w:eastAsia="zh-CN"/>
        </w:rPr>
        <w:t>（截止至</w:t>
      </w:r>
      <w:r>
        <w:rPr>
          <w:rFonts w:hint="eastAsia" w:asciiTheme="minorEastAsia" w:hAnsiTheme="minorEastAsia" w:eastAsiaTheme="minorEastAsia" w:cstheme="minorEastAsia"/>
          <w:color w:val="000000"/>
          <w:sz w:val="21"/>
          <w:szCs w:val="32"/>
          <w:lang w:val="en-US" w:eastAsia="zh-CN"/>
        </w:rPr>
        <w:t>2019年12月26日</w:t>
      </w:r>
      <w:r>
        <w:rPr>
          <w:rFonts w:hint="eastAsia" w:asciiTheme="minorEastAsia" w:hAnsiTheme="minorEastAsia" w:eastAsiaTheme="minorEastAsia" w:cstheme="minorEastAsia"/>
          <w:color w:val="000000"/>
          <w:sz w:val="21"/>
          <w:szCs w:val="32"/>
          <w:lang w:eastAsia="zh-CN"/>
        </w:rPr>
        <w:t>）</w:t>
      </w:r>
      <w:r>
        <w:rPr>
          <w:rFonts w:hint="eastAsia" w:asciiTheme="minorEastAsia" w:hAnsiTheme="minorEastAsia" w:eastAsiaTheme="minorEastAsia" w:cstheme="minorEastAsia"/>
          <w:color w:val="000000"/>
          <w:sz w:val="21"/>
          <w:szCs w:val="32"/>
        </w:rPr>
        <w:t>。</w:t>
      </w:r>
    </w:p>
    <w:p>
      <w:pPr>
        <w:jc w:val="left"/>
        <w:rPr>
          <w:rFonts w:hint="eastAsia" w:asciiTheme="minorEastAsia" w:hAnsiTheme="minorEastAsia" w:eastAsiaTheme="minorEastAsia" w:cstheme="minorEastAsia"/>
          <w:color w:val="000000"/>
          <w:sz w:val="21"/>
          <w:szCs w:val="32"/>
        </w:rPr>
        <w:sectPr>
          <w:footerReference r:id="rId5" w:type="default"/>
          <w:footnotePr>
            <w:numRestart w:val="eachPage"/>
          </w:footnotePr>
          <w:pgSz w:w="11906" w:h="16838"/>
          <w:pgMar w:top="1985" w:right="1531" w:bottom="1701" w:left="1701" w:header="964" w:footer="851" w:gutter="0"/>
          <w:pgNumType w:fmt="decimal"/>
          <w:cols w:space="425" w:num="1"/>
          <w:docGrid w:linePitch="312" w:charSpace="0"/>
        </w:sectPr>
      </w:pPr>
    </w:p>
    <w:p>
      <w:pPr>
        <w:pStyle w:val="6"/>
        <w:numPr>
          <w:ilvl w:val="0"/>
          <w:numId w:val="2"/>
        </w:numPr>
        <w:bidi w:val="0"/>
        <w:ind w:left="0" w:leftChars="0" w:firstLine="420" w:firstLineChars="0"/>
      </w:pPr>
      <w:r>
        <w:t>各</w:t>
      </w:r>
      <w:r>
        <w:rPr>
          <w:rFonts w:hint="eastAsia"/>
        </w:rPr>
        <w:t>院系及</w:t>
      </w:r>
      <w:r>
        <w:t>专业</w:t>
      </w:r>
      <w:r>
        <w:rPr>
          <w:rFonts w:hint="eastAsia"/>
        </w:rPr>
        <w:t>的</w:t>
      </w:r>
      <w:r>
        <w:t>就业率</w:t>
      </w:r>
      <w:bookmarkStart w:id="57" w:name="各院系就业率_单届"/>
      <w:bookmarkEnd w:id="57"/>
    </w:p>
    <w:p>
      <w:pPr>
        <w:pStyle w:val="8"/>
        <w:numPr>
          <w:ilvl w:val="0"/>
          <w:numId w:val="0"/>
        </w:numPr>
        <w:spacing w:line="360" w:lineRule="auto"/>
        <w:jc w:val="center"/>
        <w:rPr>
          <w:rFonts w:hint="eastAsia" w:asciiTheme="minorEastAsia" w:hAnsiTheme="minorEastAsia" w:eastAsiaTheme="minorEastAsia" w:cstheme="minorEastAsia"/>
          <w:b/>
          <w:bCs/>
          <w:kern w:val="2"/>
          <w:sz w:val="21"/>
          <w:szCs w:val="21"/>
          <w:lang w:val="en-US" w:eastAsia="zh-CN" w:bidi="ar-SA"/>
        </w:rPr>
      </w:pPr>
      <w:bookmarkStart w:id="58" w:name="_Toc316488356"/>
      <w:bookmarkStart w:id="59" w:name="_Toc452567699"/>
      <w:bookmarkStart w:id="60" w:name="_Toc532230136"/>
      <w:bookmarkStart w:id="61" w:name="_Toc439943034"/>
      <w:bookmarkStart w:id="62" w:name="_Toc410656418"/>
      <w:r>
        <w:rPr>
          <w:rFonts w:hint="eastAsia" w:asciiTheme="minorEastAsia" w:hAnsiTheme="minorEastAsia" w:eastAsiaTheme="minorEastAsia" w:cstheme="minorEastAsia"/>
          <w:b/>
          <w:bCs/>
          <w:kern w:val="2"/>
          <w:sz w:val="21"/>
          <w:szCs w:val="21"/>
          <w:lang w:val="en-US" w:eastAsia="zh-CN" w:bidi="ar-SA"/>
        </w:rPr>
        <w:t>表1-3 各院系毕业生的</w:t>
      </w:r>
      <w:bookmarkEnd w:id="58"/>
      <w:r>
        <w:rPr>
          <w:rFonts w:hint="eastAsia" w:asciiTheme="minorEastAsia" w:hAnsiTheme="minorEastAsia" w:eastAsiaTheme="minorEastAsia" w:cstheme="minorEastAsia"/>
          <w:b/>
          <w:bCs/>
          <w:kern w:val="2"/>
          <w:sz w:val="21"/>
          <w:szCs w:val="21"/>
          <w:lang w:val="en-US" w:eastAsia="zh-CN" w:bidi="ar-SA"/>
        </w:rPr>
        <w:t>就业率</w:t>
      </w:r>
      <w:bookmarkEnd w:id="59"/>
      <w:bookmarkEnd w:id="60"/>
      <w:bookmarkEnd w:id="61"/>
      <w:bookmarkEnd w:id="62"/>
    </w:p>
    <w:tbl>
      <w:tblPr>
        <w:tblStyle w:val="14"/>
        <w:tblW w:w="7561" w:type="dxa"/>
        <w:jc w:val="center"/>
        <w:tblLayout w:type="fixed"/>
        <w:tblCellMar>
          <w:top w:w="0" w:type="dxa"/>
          <w:left w:w="108" w:type="dxa"/>
          <w:bottom w:w="0" w:type="dxa"/>
          <w:right w:w="108" w:type="dxa"/>
        </w:tblCellMar>
      </w:tblPr>
      <w:tblGrid>
        <w:gridCol w:w="1240"/>
        <w:gridCol w:w="2112"/>
        <w:gridCol w:w="638"/>
        <w:gridCol w:w="1125"/>
        <w:gridCol w:w="1000"/>
        <w:gridCol w:w="1446"/>
      </w:tblGrid>
      <w:tr>
        <w:tblPrEx>
          <w:tblCellMar>
            <w:top w:w="0" w:type="dxa"/>
            <w:left w:w="108" w:type="dxa"/>
            <w:bottom w:w="0" w:type="dxa"/>
            <w:right w:w="108" w:type="dxa"/>
          </w:tblCellMar>
        </w:tblPrEx>
        <w:trPr>
          <w:trHeight w:val="303" w:hRule="atLeast"/>
          <w:jc w:val="center"/>
        </w:trPr>
        <w:tc>
          <w:tcPr>
            <w:tcW w:w="1240" w:type="dxa"/>
            <w:tcBorders>
              <w:top w:val="single" w:color="auto" w:sz="4" w:space="0"/>
              <w:left w:val="single" w:color="auto" w:sz="4" w:space="0"/>
              <w:bottom w:val="nil"/>
              <w:right w:val="single" w:color="auto" w:sz="4" w:space="0"/>
            </w:tcBorders>
            <w:noWrap/>
            <w:vAlign w:val="center"/>
          </w:tcPr>
          <w:p>
            <w:pPr>
              <w:widowControl/>
              <w:spacing w:line="200" w:lineRule="atLeast"/>
              <w:rPr>
                <w:rFonts w:ascii="宋体" w:hAnsi="宋体" w:cs="宋体"/>
                <w:kern w:val="0"/>
                <w:szCs w:val="21"/>
              </w:rPr>
            </w:pPr>
            <w:r>
              <w:rPr>
                <w:rFonts w:hint="eastAsia" w:ascii="宋体" w:hAnsi="宋体" w:cs="宋体"/>
                <w:kern w:val="0"/>
                <w:szCs w:val="21"/>
              </w:rPr>
              <w:t>院系</w:t>
            </w:r>
          </w:p>
        </w:tc>
        <w:tc>
          <w:tcPr>
            <w:tcW w:w="2112" w:type="dxa"/>
            <w:tcBorders>
              <w:top w:val="single" w:color="auto" w:sz="4" w:space="0"/>
              <w:left w:val="nil"/>
              <w:bottom w:val="nil"/>
              <w:right w:val="single" w:color="auto" w:sz="4" w:space="0"/>
            </w:tcBorders>
            <w:noWrap/>
            <w:vAlign w:val="center"/>
          </w:tcPr>
          <w:p>
            <w:pPr>
              <w:widowControl/>
              <w:spacing w:line="200" w:lineRule="atLeast"/>
              <w:rPr>
                <w:rFonts w:ascii="宋体" w:hAnsi="宋体" w:cs="宋体"/>
                <w:kern w:val="0"/>
                <w:szCs w:val="21"/>
              </w:rPr>
            </w:pPr>
            <w:r>
              <w:rPr>
                <w:rFonts w:hint="eastAsia" w:ascii="宋体" w:hAnsi="宋体" w:cs="宋体"/>
                <w:kern w:val="0"/>
                <w:szCs w:val="21"/>
              </w:rPr>
              <w:t>专业</w:t>
            </w:r>
          </w:p>
        </w:tc>
        <w:tc>
          <w:tcPr>
            <w:tcW w:w="638" w:type="dxa"/>
            <w:tcBorders>
              <w:top w:val="single" w:color="auto" w:sz="4" w:space="0"/>
              <w:left w:val="nil"/>
              <w:bottom w:val="nil"/>
              <w:right w:val="single" w:color="auto" w:sz="4" w:space="0"/>
            </w:tcBorders>
            <w:noWrap/>
            <w:vAlign w:val="center"/>
          </w:tcPr>
          <w:p>
            <w:pPr>
              <w:widowControl/>
              <w:spacing w:line="200" w:lineRule="atLeast"/>
              <w:rPr>
                <w:rFonts w:ascii="宋体" w:hAnsi="宋体" w:cs="宋体"/>
                <w:kern w:val="0"/>
                <w:szCs w:val="21"/>
              </w:rPr>
            </w:pPr>
            <w:r>
              <w:rPr>
                <w:rFonts w:hint="eastAsia" w:ascii="宋体" w:hAnsi="宋体" w:cs="宋体"/>
                <w:kern w:val="0"/>
                <w:szCs w:val="21"/>
              </w:rPr>
              <w:t>学制</w:t>
            </w:r>
          </w:p>
        </w:tc>
        <w:tc>
          <w:tcPr>
            <w:tcW w:w="1125" w:type="dxa"/>
            <w:tcBorders>
              <w:top w:val="single" w:color="auto" w:sz="4" w:space="0"/>
              <w:left w:val="nil"/>
              <w:bottom w:val="single" w:color="auto" w:sz="4" w:space="0"/>
              <w:right w:val="single" w:color="auto" w:sz="4" w:space="0"/>
            </w:tcBorders>
            <w:noWrap/>
            <w:vAlign w:val="center"/>
          </w:tcPr>
          <w:p>
            <w:pPr>
              <w:widowControl/>
              <w:jc w:val="left"/>
              <w:rPr>
                <w:rFonts w:hint="eastAsia" w:ascii="宋体" w:hAnsi="宋体" w:cs="宋体"/>
                <w:kern w:val="0"/>
                <w:szCs w:val="21"/>
                <w:lang w:val="en-US" w:eastAsia="zh-CN"/>
              </w:rPr>
            </w:pPr>
            <w:r>
              <w:rPr>
                <w:rFonts w:hint="eastAsia" w:ascii="宋体" w:hAnsi="宋体" w:cs="宋体"/>
                <w:kern w:val="0"/>
                <w:szCs w:val="21"/>
              </w:rPr>
              <w:t>毕业人数</w:t>
            </w:r>
          </w:p>
        </w:tc>
        <w:tc>
          <w:tcPr>
            <w:tcW w:w="1000" w:type="dxa"/>
            <w:tcBorders>
              <w:top w:val="single" w:color="auto" w:sz="4" w:space="0"/>
              <w:left w:val="nil"/>
              <w:bottom w:val="nil"/>
              <w:right w:val="single" w:color="auto" w:sz="4" w:space="0"/>
            </w:tcBorders>
            <w:noWrap/>
            <w:vAlign w:val="center"/>
          </w:tcPr>
          <w:p>
            <w:pPr>
              <w:widowControl/>
              <w:jc w:val="left"/>
              <w:rPr>
                <w:rFonts w:hint="eastAsia" w:ascii="宋体" w:hAnsi="宋体" w:cs="宋体"/>
                <w:kern w:val="0"/>
                <w:szCs w:val="21"/>
              </w:rPr>
            </w:pPr>
            <w:r>
              <w:rPr>
                <w:rFonts w:hint="eastAsia" w:ascii="宋体" w:hAnsi="宋体" w:cs="宋体"/>
                <w:kern w:val="0"/>
                <w:szCs w:val="21"/>
              </w:rPr>
              <w:t>就业</w:t>
            </w:r>
          </w:p>
          <w:p>
            <w:pPr>
              <w:widowControl/>
              <w:jc w:val="left"/>
              <w:rPr>
                <w:rFonts w:hint="eastAsia" w:ascii="宋体" w:hAnsi="宋体" w:cs="宋体"/>
                <w:kern w:val="0"/>
                <w:szCs w:val="21"/>
                <w:lang w:val="en-US" w:eastAsia="zh-CN"/>
              </w:rPr>
            </w:pPr>
            <w:r>
              <w:rPr>
                <w:rFonts w:hint="eastAsia" w:ascii="宋体" w:hAnsi="宋体" w:cs="宋体"/>
                <w:kern w:val="0"/>
                <w:szCs w:val="21"/>
              </w:rPr>
              <w:t>人数</w:t>
            </w:r>
          </w:p>
        </w:tc>
        <w:tc>
          <w:tcPr>
            <w:tcW w:w="1446" w:type="dxa"/>
            <w:tcBorders>
              <w:top w:val="single" w:color="auto" w:sz="4" w:space="0"/>
              <w:left w:val="nil"/>
              <w:bottom w:val="nil"/>
              <w:right w:val="single" w:color="auto" w:sz="4" w:space="0"/>
            </w:tcBorders>
            <w:noWrap/>
            <w:vAlign w:val="center"/>
          </w:tcPr>
          <w:p>
            <w:pPr>
              <w:widowControl/>
              <w:jc w:val="left"/>
              <w:rPr>
                <w:rFonts w:hint="eastAsia" w:ascii="宋体" w:hAnsi="宋体" w:cs="宋体"/>
                <w:kern w:val="0"/>
                <w:szCs w:val="21"/>
              </w:rPr>
            </w:pPr>
            <w:r>
              <w:rPr>
                <w:rFonts w:hint="eastAsia" w:ascii="宋体" w:hAnsi="宋体" w:cs="宋体"/>
                <w:kern w:val="0"/>
                <w:szCs w:val="21"/>
              </w:rPr>
              <w:t>各专业</w:t>
            </w:r>
          </w:p>
          <w:p>
            <w:pPr>
              <w:widowControl/>
              <w:jc w:val="left"/>
              <w:rPr>
                <w:rFonts w:hint="eastAsia" w:ascii="宋体" w:hAnsi="宋体" w:cs="宋体"/>
                <w:kern w:val="0"/>
                <w:szCs w:val="21"/>
                <w:lang w:val="en-US" w:eastAsia="zh-CN"/>
              </w:rPr>
            </w:pPr>
            <w:r>
              <w:rPr>
                <w:rFonts w:hint="eastAsia" w:ascii="宋体" w:hAnsi="宋体" w:cs="宋体"/>
                <w:kern w:val="0"/>
                <w:szCs w:val="21"/>
              </w:rPr>
              <w:t>就业率</w:t>
            </w:r>
          </w:p>
        </w:tc>
      </w:tr>
      <w:tr>
        <w:tblPrEx>
          <w:tblCellMar>
            <w:top w:w="0" w:type="dxa"/>
            <w:left w:w="108" w:type="dxa"/>
            <w:bottom w:w="0" w:type="dxa"/>
            <w:right w:w="108" w:type="dxa"/>
          </w:tblCellMar>
        </w:tblPrEx>
        <w:trPr>
          <w:trHeight w:val="273" w:hRule="atLeast"/>
          <w:jc w:val="center"/>
        </w:trPr>
        <w:tc>
          <w:tcPr>
            <w:tcW w:w="1240" w:type="dxa"/>
            <w:vMerge w:val="restart"/>
            <w:tcBorders>
              <w:top w:val="single" w:color="auto" w:sz="4" w:space="0"/>
              <w:left w:val="single" w:color="auto" w:sz="4" w:space="0"/>
              <w:bottom w:val="single" w:color="000000" w:sz="4" w:space="0"/>
              <w:right w:val="single" w:color="auto" w:sz="4" w:space="0"/>
            </w:tcBorders>
            <w:noWrap/>
            <w:vAlign w:val="center"/>
          </w:tcPr>
          <w:p>
            <w:pPr>
              <w:widowControl/>
              <w:spacing w:line="200" w:lineRule="atLeast"/>
              <w:rPr>
                <w:rFonts w:ascii="宋体" w:hAnsi="宋体" w:cs="宋体"/>
                <w:color w:val="auto"/>
                <w:kern w:val="0"/>
                <w:szCs w:val="21"/>
              </w:rPr>
            </w:pPr>
            <w:r>
              <w:rPr>
                <w:rFonts w:hint="eastAsia" w:ascii="宋体" w:hAnsi="宋体" w:cs="宋体"/>
                <w:color w:val="auto"/>
                <w:kern w:val="0"/>
                <w:szCs w:val="21"/>
              </w:rPr>
              <w:t>英语系</w:t>
            </w:r>
          </w:p>
        </w:tc>
        <w:tc>
          <w:tcPr>
            <w:tcW w:w="2112" w:type="dxa"/>
            <w:tcBorders>
              <w:top w:val="single" w:color="auto" w:sz="4" w:space="0"/>
              <w:left w:val="nil"/>
              <w:bottom w:val="single" w:color="auto" w:sz="4" w:space="0"/>
              <w:right w:val="single" w:color="auto" w:sz="4" w:space="0"/>
            </w:tcBorders>
            <w:noWrap/>
            <w:vAlign w:val="center"/>
          </w:tcPr>
          <w:p>
            <w:pPr>
              <w:widowControl/>
              <w:spacing w:line="200" w:lineRule="atLeast"/>
              <w:rPr>
                <w:rFonts w:ascii="宋体" w:hAnsi="宋体" w:cs="宋体"/>
                <w:color w:val="auto"/>
                <w:kern w:val="0"/>
                <w:szCs w:val="21"/>
              </w:rPr>
            </w:pPr>
            <w:r>
              <w:rPr>
                <w:rFonts w:hint="eastAsia" w:ascii="宋体" w:hAnsi="宋体" w:cs="宋体"/>
                <w:color w:val="auto"/>
                <w:kern w:val="0"/>
                <w:szCs w:val="21"/>
              </w:rPr>
              <w:t>应用英语</w:t>
            </w:r>
          </w:p>
        </w:tc>
        <w:tc>
          <w:tcPr>
            <w:tcW w:w="638" w:type="dxa"/>
            <w:tcBorders>
              <w:top w:val="single" w:color="auto" w:sz="4" w:space="0"/>
              <w:left w:val="nil"/>
              <w:bottom w:val="single" w:color="auto" w:sz="4" w:space="0"/>
              <w:right w:val="single" w:color="auto" w:sz="4" w:space="0"/>
            </w:tcBorders>
            <w:noWrap/>
            <w:vAlign w:val="center"/>
          </w:tcPr>
          <w:p>
            <w:pPr>
              <w:widowControl/>
              <w:spacing w:line="200" w:lineRule="atLeast"/>
              <w:rPr>
                <w:rFonts w:ascii="宋体" w:hAnsi="宋体" w:cs="宋体"/>
                <w:color w:val="auto"/>
                <w:kern w:val="0"/>
                <w:szCs w:val="21"/>
              </w:rPr>
            </w:pPr>
            <w:r>
              <w:rPr>
                <w:rFonts w:hint="eastAsia" w:ascii="宋体" w:hAnsi="宋体" w:cs="宋体"/>
                <w:color w:val="auto"/>
                <w:kern w:val="0"/>
                <w:szCs w:val="21"/>
              </w:rPr>
              <w:t>5</w:t>
            </w:r>
          </w:p>
        </w:tc>
        <w:tc>
          <w:tcPr>
            <w:tcW w:w="1125" w:type="dxa"/>
            <w:tcBorders>
              <w:top w:val="nil"/>
              <w:left w:val="nil"/>
              <w:bottom w:val="single" w:color="auto" w:sz="4" w:space="0"/>
              <w:right w:val="single" w:color="auto" w:sz="4" w:space="0"/>
            </w:tcBorders>
            <w:noWrap/>
            <w:vAlign w:val="center"/>
          </w:tcPr>
          <w:p>
            <w:pPr>
              <w:widowControl/>
              <w:spacing w:line="200" w:lineRule="atLeast"/>
              <w:rPr>
                <w:rFonts w:hint="default" w:ascii="宋体" w:hAnsi="宋体" w:eastAsia="宋体" w:cs="宋体"/>
                <w:color w:val="auto"/>
                <w:kern w:val="0"/>
                <w:szCs w:val="21"/>
                <w:lang w:val="en-US" w:eastAsia="zh-CN"/>
              </w:rPr>
            </w:pPr>
            <w:r>
              <w:rPr>
                <w:rFonts w:hint="eastAsia" w:ascii="宋体" w:hAnsi="宋体" w:cs="宋体"/>
                <w:color w:val="auto"/>
                <w:kern w:val="0"/>
                <w:szCs w:val="21"/>
                <w:lang w:val="en-US" w:eastAsia="zh-CN"/>
              </w:rPr>
              <w:t>110</w:t>
            </w:r>
          </w:p>
        </w:tc>
        <w:tc>
          <w:tcPr>
            <w:tcW w:w="1000" w:type="dxa"/>
            <w:tcBorders>
              <w:top w:val="single" w:color="auto" w:sz="4" w:space="0"/>
              <w:left w:val="nil"/>
              <w:bottom w:val="single" w:color="auto" w:sz="4" w:space="0"/>
              <w:right w:val="single" w:color="auto" w:sz="4" w:space="0"/>
            </w:tcBorders>
            <w:noWrap/>
            <w:vAlign w:val="center"/>
          </w:tcPr>
          <w:p>
            <w:pPr>
              <w:widowControl/>
              <w:spacing w:line="200" w:lineRule="atLeast"/>
              <w:rPr>
                <w:rFonts w:hint="default" w:ascii="宋体" w:hAnsi="宋体" w:eastAsia="宋体" w:cs="宋体"/>
                <w:color w:val="auto"/>
                <w:kern w:val="0"/>
                <w:szCs w:val="21"/>
                <w:lang w:val="en-US" w:eastAsia="zh-CN"/>
              </w:rPr>
            </w:pPr>
            <w:r>
              <w:rPr>
                <w:rFonts w:hint="eastAsia" w:ascii="宋体" w:hAnsi="宋体" w:cs="宋体"/>
                <w:color w:val="auto"/>
                <w:kern w:val="0"/>
                <w:szCs w:val="21"/>
                <w:lang w:val="en-US" w:eastAsia="zh-CN"/>
              </w:rPr>
              <w:t>97</w:t>
            </w:r>
          </w:p>
        </w:tc>
        <w:tc>
          <w:tcPr>
            <w:tcW w:w="1446"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both"/>
              <w:textAlignment w:val="center"/>
              <w:rPr>
                <w:rFonts w:hint="default" w:ascii="宋体" w:hAnsi="宋体" w:eastAsia="宋体" w:cs="宋体"/>
                <w:color w:val="auto"/>
                <w:kern w:val="0"/>
                <w:szCs w:val="21"/>
                <w:lang w:val="en-US" w:eastAsia="zh-CN"/>
              </w:rPr>
            </w:pPr>
            <w:r>
              <w:rPr>
                <w:rFonts w:hint="eastAsia" w:ascii="宋体" w:hAnsi="宋体" w:eastAsia="宋体" w:cs="宋体"/>
                <w:i w:val="0"/>
                <w:color w:val="000000"/>
                <w:kern w:val="0"/>
                <w:sz w:val="21"/>
                <w:szCs w:val="21"/>
                <w:u w:val="none"/>
                <w:lang w:val="en-US" w:eastAsia="zh-CN" w:bidi="ar"/>
              </w:rPr>
              <w:t>88.2%</w:t>
            </w:r>
          </w:p>
        </w:tc>
      </w:tr>
      <w:tr>
        <w:tblPrEx>
          <w:tblCellMar>
            <w:top w:w="0" w:type="dxa"/>
            <w:left w:w="108" w:type="dxa"/>
            <w:bottom w:w="0" w:type="dxa"/>
            <w:right w:w="108" w:type="dxa"/>
          </w:tblCellMar>
        </w:tblPrEx>
        <w:trPr>
          <w:trHeight w:val="283" w:hRule="atLeast"/>
          <w:jc w:val="center"/>
        </w:trPr>
        <w:tc>
          <w:tcPr>
            <w:tcW w:w="1240" w:type="dxa"/>
            <w:vMerge w:val="continue"/>
            <w:tcBorders>
              <w:top w:val="single" w:color="auto" w:sz="4" w:space="0"/>
              <w:left w:val="single" w:color="auto" w:sz="4" w:space="0"/>
              <w:bottom w:val="single" w:color="000000" w:sz="4" w:space="0"/>
              <w:right w:val="single" w:color="auto" w:sz="4" w:space="0"/>
            </w:tcBorders>
            <w:noWrap/>
            <w:vAlign w:val="center"/>
          </w:tcPr>
          <w:p>
            <w:pPr>
              <w:widowControl/>
              <w:spacing w:line="200" w:lineRule="atLeast"/>
              <w:rPr>
                <w:rFonts w:ascii="宋体" w:hAnsi="宋体" w:cs="宋体"/>
                <w:color w:val="auto"/>
                <w:kern w:val="0"/>
                <w:szCs w:val="21"/>
              </w:rPr>
            </w:pPr>
          </w:p>
        </w:tc>
        <w:tc>
          <w:tcPr>
            <w:tcW w:w="2112" w:type="dxa"/>
            <w:tcBorders>
              <w:top w:val="nil"/>
              <w:left w:val="nil"/>
              <w:bottom w:val="single" w:color="auto" w:sz="4" w:space="0"/>
              <w:right w:val="single" w:color="auto" w:sz="4" w:space="0"/>
            </w:tcBorders>
            <w:noWrap/>
            <w:vAlign w:val="center"/>
          </w:tcPr>
          <w:p>
            <w:pPr>
              <w:widowControl/>
              <w:spacing w:line="200" w:lineRule="atLeast"/>
              <w:rPr>
                <w:rFonts w:ascii="宋体" w:hAnsi="宋体" w:cs="宋体"/>
                <w:color w:val="auto"/>
                <w:kern w:val="0"/>
                <w:szCs w:val="21"/>
              </w:rPr>
            </w:pPr>
            <w:r>
              <w:rPr>
                <w:rFonts w:hint="eastAsia" w:ascii="宋体" w:hAnsi="宋体" w:cs="宋体"/>
                <w:color w:val="auto"/>
                <w:kern w:val="0"/>
                <w:szCs w:val="21"/>
              </w:rPr>
              <w:t>应用英语</w:t>
            </w:r>
          </w:p>
        </w:tc>
        <w:tc>
          <w:tcPr>
            <w:tcW w:w="638" w:type="dxa"/>
            <w:tcBorders>
              <w:top w:val="nil"/>
              <w:left w:val="nil"/>
              <w:bottom w:val="single" w:color="auto" w:sz="4" w:space="0"/>
              <w:right w:val="single" w:color="auto" w:sz="4" w:space="0"/>
            </w:tcBorders>
            <w:noWrap/>
            <w:vAlign w:val="center"/>
          </w:tcPr>
          <w:p>
            <w:pPr>
              <w:widowControl/>
              <w:spacing w:line="200" w:lineRule="atLeast"/>
              <w:rPr>
                <w:rFonts w:ascii="宋体" w:hAnsi="宋体" w:cs="宋体"/>
                <w:color w:val="auto"/>
                <w:kern w:val="0"/>
                <w:szCs w:val="21"/>
              </w:rPr>
            </w:pPr>
            <w:r>
              <w:rPr>
                <w:rFonts w:hint="eastAsia" w:ascii="宋体" w:hAnsi="宋体" w:cs="宋体"/>
                <w:color w:val="auto"/>
                <w:kern w:val="0"/>
                <w:szCs w:val="21"/>
              </w:rPr>
              <w:t>3</w:t>
            </w:r>
          </w:p>
        </w:tc>
        <w:tc>
          <w:tcPr>
            <w:tcW w:w="1125" w:type="dxa"/>
            <w:tcBorders>
              <w:top w:val="nil"/>
              <w:left w:val="nil"/>
              <w:bottom w:val="single" w:color="auto" w:sz="4" w:space="0"/>
              <w:right w:val="single" w:color="auto" w:sz="4" w:space="0"/>
            </w:tcBorders>
            <w:noWrap/>
            <w:vAlign w:val="center"/>
          </w:tcPr>
          <w:p>
            <w:pPr>
              <w:widowControl/>
              <w:spacing w:line="200" w:lineRule="atLeast"/>
              <w:rPr>
                <w:rFonts w:hint="default" w:ascii="宋体" w:hAnsi="宋体" w:eastAsia="宋体" w:cs="宋体"/>
                <w:color w:val="auto"/>
                <w:kern w:val="0"/>
                <w:szCs w:val="21"/>
                <w:lang w:val="en-US" w:eastAsia="zh-CN"/>
              </w:rPr>
            </w:pPr>
            <w:r>
              <w:rPr>
                <w:rFonts w:hint="eastAsia" w:ascii="宋体" w:hAnsi="宋体" w:cs="宋体"/>
                <w:color w:val="auto"/>
                <w:kern w:val="0"/>
                <w:szCs w:val="21"/>
                <w:lang w:val="en-US" w:eastAsia="zh-CN"/>
              </w:rPr>
              <w:t>159</w:t>
            </w:r>
          </w:p>
        </w:tc>
        <w:tc>
          <w:tcPr>
            <w:tcW w:w="1000" w:type="dxa"/>
            <w:tcBorders>
              <w:top w:val="nil"/>
              <w:left w:val="nil"/>
              <w:bottom w:val="single" w:color="auto" w:sz="4" w:space="0"/>
              <w:right w:val="single" w:color="auto" w:sz="4" w:space="0"/>
            </w:tcBorders>
            <w:noWrap/>
            <w:vAlign w:val="center"/>
          </w:tcPr>
          <w:p>
            <w:pPr>
              <w:widowControl/>
              <w:spacing w:line="200" w:lineRule="atLeast"/>
              <w:rPr>
                <w:rFonts w:hint="default" w:ascii="宋体" w:hAnsi="宋体" w:eastAsia="宋体" w:cs="宋体"/>
                <w:color w:val="auto"/>
                <w:kern w:val="0"/>
                <w:szCs w:val="21"/>
                <w:lang w:val="en-US" w:eastAsia="zh-CN"/>
              </w:rPr>
            </w:pPr>
            <w:r>
              <w:rPr>
                <w:rFonts w:hint="eastAsia" w:ascii="宋体" w:hAnsi="宋体" w:cs="宋体"/>
                <w:color w:val="auto"/>
                <w:kern w:val="0"/>
                <w:szCs w:val="21"/>
                <w:lang w:val="en-US" w:eastAsia="zh-CN"/>
              </w:rPr>
              <w:t>148</w:t>
            </w:r>
          </w:p>
        </w:tc>
        <w:tc>
          <w:tcPr>
            <w:tcW w:w="1446" w:type="dxa"/>
            <w:tcBorders>
              <w:top w:val="nil"/>
              <w:left w:val="nil"/>
              <w:bottom w:val="single" w:color="auto" w:sz="4" w:space="0"/>
              <w:right w:val="single" w:color="auto" w:sz="4" w:space="0"/>
            </w:tcBorders>
            <w:noWrap/>
            <w:vAlign w:val="center"/>
          </w:tcPr>
          <w:p>
            <w:pPr>
              <w:keepNext w:val="0"/>
              <w:keepLines w:val="0"/>
              <w:widowControl/>
              <w:suppressLineNumbers w:val="0"/>
              <w:jc w:val="both"/>
              <w:textAlignment w:val="center"/>
              <w:rPr>
                <w:rFonts w:hint="default" w:ascii="宋体" w:hAnsi="宋体" w:eastAsia="宋体" w:cs="宋体"/>
                <w:color w:val="auto"/>
                <w:kern w:val="0"/>
                <w:szCs w:val="21"/>
                <w:lang w:val="en-US" w:eastAsia="zh-CN"/>
              </w:rPr>
            </w:pPr>
            <w:r>
              <w:rPr>
                <w:rFonts w:hint="eastAsia" w:ascii="宋体" w:hAnsi="宋体" w:eastAsia="宋体" w:cs="宋体"/>
                <w:i w:val="0"/>
                <w:color w:val="000000"/>
                <w:kern w:val="0"/>
                <w:sz w:val="21"/>
                <w:szCs w:val="21"/>
                <w:u w:val="none"/>
                <w:lang w:val="en-US" w:eastAsia="zh-CN" w:bidi="ar"/>
              </w:rPr>
              <w:t>93.1%</w:t>
            </w:r>
          </w:p>
        </w:tc>
      </w:tr>
      <w:tr>
        <w:tblPrEx>
          <w:tblCellMar>
            <w:top w:w="0" w:type="dxa"/>
            <w:left w:w="108" w:type="dxa"/>
            <w:bottom w:w="0" w:type="dxa"/>
            <w:right w:w="108" w:type="dxa"/>
          </w:tblCellMar>
        </w:tblPrEx>
        <w:trPr>
          <w:trHeight w:val="297" w:hRule="atLeast"/>
          <w:jc w:val="center"/>
        </w:trPr>
        <w:tc>
          <w:tcPr>
            <w:tcW w:w="1240" w:type="dxa"/>
            <w:vMerge w:val="continue"/>
            <w:tcBorders>
              <w:top w:val="single" w:color="auto" w:sz="4" w:space="0"/>
              <w:left w:val="single" w:color="auto" w:sz="4" w:space="0"/>
              <w:bottom w:val="single" w:color="000000" w:sz="4" w:space="0"/>
              <w:right w:val="single" w:color="auto" w:sz="4" w:space="0"/>
            </w:tcBorders>
            <w:noWrap/>
            <w:vAlign w:val="center"/>
          </w:tcPr>
          <w:p>
            <w:pPr>
              <w:widowControl/>
              <w:spacing w:line="200" w:lineRule="atLeast"/>
              <w:rPr>
                <w:rFonts w:ascii="宋体" w:hAnsi="宋体" w:cs="宋体"/>
                <w:color w:val="auto"/>
                <w:kern w:val="0"/>
                <w:szCs w:val="21"/>
              </w:rPr>
            </w:pPr>
          </w:p>
        </w:tc>
        <w:tc>
          <w:tcPr>
            <w:tcW w:w="2112" w:type="dxa"/>
            <w:tcBorders>
              <w:top w:val="nil"/>
              <w:left w:val="nil"/>
              <w:bottom w:val="single" w:color="auto" w:sz="4" w:space="0"/>
              <w:right w:val="single" w:color="auto" w:sz="4" w:space="0"/>
            </w:tcBorders>
            <w:noWrap/>
            <w:vAlign w:val="center"/>
          </w:tcPr>
          <w:p>
            <w:pPr>
              <w:widowControl/>
              <w:spacing w:line="200" w:lineRule="atLeast"/>
              <w:rPr>
                <w:rFonts w:ascii="宋体" w:hAnsi="宋体" w:cs="宋体"/>
                <w:color w:val="auto"/>
                <w:kern w:val="0"/>
                <w:szCs w:val="21"/>
              </w:rPr>
            </w:pPr>
            <w:r>
              <w:rPr>
                <w:rFonts w:hint="eastAsia" w:ascii="宋体" w:hAnsi="宋体" w:cs="宋体"/>
                <w:color w:val="auto"/>
                <w:kern w:val="0"/>
                <w:szCs w:val="21"/>
              </w:rPr>
              <w:t>首饰</w:t>
            </w:r>
            <w:r>
              <w:rPr>
                <w:rFonts w:hint="eastAsia" w:ascii="宋体" w:hAnsi="宋体" w:cs="宋体"/>
                <w:color w:val="auto"/>
                <w:kern w:val="0"/>
                <w:szCs w:val="21"/>
                <w:lang w:eastAsia="zh-CN"/>
              </w:rPr>
              <w:t>设计</w:t>
            </w:r>
            <w:r>
              <w:rPr>
                <w:rFonts w:hint="eastAsia" w:ascii="宋体" w:hAnsi="宋体" w:cs="宋体"/>
                <w:color w:val="auto"/>
                <w:kern w:val="0"/>
                <w:szCs w:val="21"/>
              </w:rPr>
              <w:t>与工艺</w:t>
            </w:r>
          </w:p>
        </w:tc>
        <w:tc>
          <w:tcPr>
            <w:tcW w:w="638" w:type="dxa"/>
            <w:tcBorders>
              <w:top w:val="nil"/>
              <w:left w:val="nil"/>
              <w:bottom w:val="single" w:color="auto" w:sz="4" w:space="0"/>
              <w:right w:val="single" w:color="auto" w:sz="4" w:space="0"/>
            </w:tcBorders>
            <w:noWrap/>
            <w:vAlign w:val="center"/>
          </w:tcPr>
          <w:p>
            <w:pPr>
              <w:widowControl/>
              <w:spacing w:line="200" w:lineRule="atLeast"/>
              <w:rPr>
                <w:rFonts w:ascii="宋体" w:hAnsi="宋体" w:cs="宋体"/>
                <w:color w:val="auto"/>
                <w:kern w:val="0"/>
                <w:szCs w:val="21"/>
              </w:rPr>
            </w:pPr>
            <w:r>
              <w:rPr>
                <w:rFonts w:hint="eastAsia" w:ascii="宋体" w:hAnsi="宋体" w:cs="宋体"/>
                <w:color w:val="auto"/>
                <w:kern w:val="0"/>
                <w:szCs w:val="21"/>
              </w:rPr>
              <w:t>3</w:t>
            </w:r>
          </w:p>
        </w:tc>
        <w:tc>
          <w:tcPr>
            <w:tcW w:w="1125" w:type="dxa"/>
            <w:tcBorders>
              <w:top w:val="nil"/>
              <w:left w:val="nil"/>
              <w:bottom w:val="single" w:color="auto" w:sz="4" w:space="0"/>
              <w:right w:val="single" w:color="auto" w:sz="4" w:space="0"/>
            </w:tcBorders>
            <w:noWrap/>
            <w:vAlign w:val="center"/>
          </w:tcPr>
          <w:p>
            <w:pPr>
              <w:widowControl/>
              <w:spacing w:line="200" w:lineRule="atLeast"/>
              <w:rPr>
                <w:rFonts w:ascii="宋体" w:hAnsi="宋体" w:cs="宋体"/>
                <w:color w:val="auto"/>
                <w:kern w:val="0"/>
                <w:szCs w:val="21"/>
              </w:rPr>
            </w:pPr>
            <w:r>
              <w:rPr>
                <w:rFonts w:hint="eastAsia" w:ascii="宋体" w:hAnsi="宋体" w:cs="宋体"/>
                <w:color w:val="auto"/>
                <w:kern w:val="0"/>
                <w:szCs w:val="21"/>
                <w:lang w:val="en-US" w:eastAsia="zh-CN"/>
              </w:rPr>
              <w:t>16</w:t>
            </w:r>
          </w:p>
        </w:tc>
        <w:tc>
          <w:tcPr>
            <w:tcW w:w="1000" w:type="dxa"/>
            <w:tcBorders>
              <w:top w:val="nil"/>
              <w:left w:val="nil"/>
              <w:bottom w:val="single" w:color="auto" w:sz="4" w:space="0"/>
              <w:right w:val="single" w:color="auto" w:sz="4" w:space="0"/>
            </w:tcBorders>
            <w:noWrap/>
            <w:vAlign w:val="center"/>
          </w:tcPr>
          <w:p>
            <w:pPr>
              <w:widowControl/>
              <w:spacing w:line="200" w:lineRule="atLeast"/>
              <w:rPr>
                <w:rFonts w:hint="default" w:ascii="宋体" w:hAnsi="宋体" w:eastAsia="宋体" w:cs="宋体"/>
                <w:color w:val="auto"/>
                <w:kern w:val="0"/>
                <w:szCs w:val="21"/>
                <w:lang w:val="en-US" w:eastAsia="zh-CN"/>
              </w:rPr>
            </w:pPr>
            <w:r>
              <w:rPr>
                <w:rFonts w:hint="eastAsia" w:ascii="宋体" w:hAnsi="宋体" w:cs="宋体"/>
                <w:color w:val="auto"/>
                <w:kern w:val="0"/>
                <w:szCs w:val="21"/>
                <w:lang w:val="en-US" w:eastAsia="zh-CN"/>
              </w:rPr>
              <w:t>15</w:t>
            </w:r>
          </w:p>
        </w:tc>
        <w:tc>
          <w:tcPr>
            <w:tcW w:w="1446" w:type="dxa"/>
            <w:tcBorders>
              <w:top w:val="nil"/>
              <w:left w:val="nil"/>
              <w:bottom w:val="single" w:color="auto" w:sz="4" w:space="0"/>
              <w:right w:val="single" w:color="auto" w:sz="4" w:space="0"/>
            </w:tcBorders>
            <w:noWrap/>
            <w:vAlign w:val="center"/>
          </w:tcPr>
          <w:p>
            <w:pPr>
              <w:keepNext w:val="0"/>
              <w:keepLines w:val="0"/>
              <w:widowControl/>
              <w:suppressLineNumbers w:val="0"/>
              <w:jc w:val="both"/>
              <w:textAlignment w:val="center"/>
              <w:rPr>
                <w:rFonts w:hint="default" w:ascii="宋体" w:hAnsi="宋体" w:eastAsia="宋体" w:cs="宋体"/>
                <w:color w:val="auto"/>
                <w:kern w:val="0"/>
                <w:szCs w:val="21"/>
                <w:lang w:val="en-US" w:eastAsia="zh-CN"/>
              </w:rPr>
            </w:pPr>
            <w:r>
              <w:rPr>
                <w:rFonts w:hint="eastAsia" w:ascii="宋体" w:hAnsi="宋体" w:eastAsia="宋体" w:cs="宋体"/>
                <w:i w:val="0"/>
                <w:color w:val="000000"/>
                <w:kern w:val="0"/>
                <w:sz w:val="21"/>
                <w:szCs w:val="21"/>
                <w:u w:val="none"/>
                <w:lang w:val="en-US" w:eastAsia="zh-CN" w:bidi="ar"/>
              </w:rPr>
              <w:t>93.8%</w:t>
            </w:r>
          </w:p>
        </w:tc>
      </w:tr>
      <w:tr>
        <w:tblPrEx>
          <w:tblCellMar>
            <w:top w:w="0" w:type="dxa"/>
            <w:left w:w="108" w:type="dxa"/>
            <w:bottom w:w="0" w:type="dxa"/>
            <w:right w:w="108" w:type="dxa"/>
          </w:tblCellMar>
        </w:tblPrEx>
        <w:trPr>
          <w:trHeight w:val="231" w:hRule="atLeast"/>
          <w:jc w:val="center"/>
        </w:trPr>
        <w:tc>
          <w:tcPr>
            <w:tcW w:w="1240" w:type="dxa"/>
            <w:vMerge w:val="continue"/>
            <w:tcBorders>
              <w:left w:val="single" w:color="auto" w:sz="4" w:space="0"/>
              <w:bottom w:val="single" w:color="000000" w:sz="4" w:space="0"/>
              <w:right w:val="single" w:color="auto" w:sz="4" w:space="0"/>
            </w:tcBorders>
            <w:noWrap/>
            <w:vAlign w:val="center"/>
          </w:tcPr>
          <w:p>
            <w:pPr>
              <w:widowControl/>
              <w:spacing w:line="200" w:lineRule="atLeast"/>
              <w:rPr>
                <w:rFonts w:ascii="宋体" w:hAnsi="宋体" w:cs="宋体"/>
                <w:color w:val="auto"/>
                <w:kern w:val="0"/>
                <w:szCs w:val="21"/>
              </w:rPr>
            </w:pPr>
          </w:p>
        </w:tc>
        <w:tc>
          <w:tcPr>
            <w:tcW w:w="2112" w:type="dxa"/>
            <w:tcBorders>
              <w:top w:val="single" w:color="auto" w:sz="4" w:space="0"/>
              <w:left w:val="nil"/>
              <w:bottom w:val="single" w:color="auto" w:sz="4" w:space="0"/>
              <w:right w:val="single" w:color="auto" w:sz="4" w:space="0"/>
            </w:tcBorders>
            <w:noWrap/>
            <w:vAlign w:val="center"/>
          </w:tcPr>
          <w:p>
            <w:pPr>
              <w:widowControl/>
              <w:spacing w:line="200" w:lineRule="atLeast"/>
              <w:rPr>
                <w:rFonts w:hint="eastAsia" w:ascii="宋体" w:hAnsi="宋体" w:eastAsia="宋体" w:cs="宋体"/>
                <w:color w:val="auto"/>
                <w:kern w:val="0"/>
                <w:sz w:val="21"/>
                <w:szCs w:val="21"/>
                <w:lang w:val="en-US" w:eastAsia="zh-CN" w:bidi="ar-SA"/>
              </w:rPr>
            </w:pPr>
            <w:r>
              <w:rPr>
                <w:rFonts w:hint="eastAsia" w:ascii="宋体" w:hAnsi="宋体" w:cs="宋体"/>
                <w:color w:val="auto"/>
                <w:kern w:val="0"/>
                <w:szCs w:val="21"/>
              </w:rPr>
              <w:t>首饰</w:t>
            </w:r>
            <w:r>
              <w:rPr>
                <w:rFonts w:hint="eastAsia" w:ascii="宋体" w:hAnsi="宋体" w:cs="宋体"/>
                <w:color w:val="auto"/>
                <w:kern w:val="0"/>
                <w:szCs w:val="21"/>
                <w:lang w:eastAsia="zh-CN"/>
              </w:rPr>
              <w:t>设计</w:t>
            </w:r>
            <w:r>
              <w:rPr>
                <w:rFonts w:hint="eastAsia" w:ascii="宋体" w:hAnsi="宋体" w:cs="宋体"/>
                <w:color w:val="auto"/>
                <w:kern w:val="0"/>
                <w:szCs w:val="21"/>
              </w:rPr>
              <w:t>与工艺</w:t>
            </w:r>
          </w:p>
        </w:tc>
        <w:tc>
          <w:tcPr>
            <w:tcW w:w="638" w:type="dxa"/>
            <w:tcBorders>
              <w:top w:val="single" w:color="auto" w:sz="4" w:space="0"/>
              <w:left w:val="nil"/>
              <w:bottom w:val="single" w:color="auto" w:sz="4" w:space="0"/>
              <w:right w:val="single" w:color="auto" w:sz="4" w:space="0"/>
            </w:tcBorders>
            <w:noWrap/>
            <w:vAlign w:val="center"/>
          </w:tcPr>
          <w:p>
            <w:pPr>
              <w:widowControl/>
              <w:spacing w:line="200" w:lineRule="atLeast"/>
              <w:rPr>
                <w:rFonts w:hint="eastAsia" w:ascii="宋体" w:hAnsi="宋体" w:eastAsia="宋体" w:cs="宋体"/>
                <w:color w:val="auto"/>
                <w:kern w:val="0"/>
                <w:szCs w:val="21"/>
                <w:lang w:val="en-US" w:eastAsia="zh-CN"/>
              </w:rPr>
            </w:pPr>
            <w:r>
              <w:rPr>
                <w:rFonts w:hint="eastAsia" w:ascii="宋体" w:hAnsi="宋体" w:cs="宋体"/>
                <w:color w:val="auto"/>
                <w:kern w:val="0"/>
                <w:szCs w:val="21"/>
                <w:lang w:val="en-US" w:eastAsia="zh-CN"/>
              </w:rPr>
              <w:t>2</w:t>
            </w:r>
          </w:p>
        </w:tc>
        <w:tc>
          <w:tcPr>
            <w:tcW w:w="1125" w:type="dxa"/>
            <w:tcBorders>
              <w:top w:val="single" w:color="auto" w:sz="4" w:space="0"/>
              <w:left w:val="nil"/>
              <w:bottom w:val="single" w:color="auto" w:sz="4" w:space="0"/>
              <w:right w:val="single" w:color="auto" w:sz="4" w:space="0"/>
            </w:tcBorders>
            <w:noWrap/>
            <w:vAlign w:val="center"/>
          </w:tcPr>
          <w:p>
            <w:pPr>
              <w:widowControl/>
              <w:spacing w:line="200" w:lineRule="atLeast"/>
              <w:rPr>
                <w:rFonts w:hint="eastAsia" w:ascii="宋体" w:hAnsi="宋体" w:cs="宋体"/>
                <w:color w:val="auto"/>
                <w:kern w:val="0"/>
                <w:szCs w:val="21"/>
              </w:rPr>
            </w:pPr>
            <w:r>
              <w:rPr>
                <w:rFonts w:hint="eastAsia" w:ascii="宋体" w:hAnsi="宋体" w:cs="宋体"/>
                <w:color w:val="auto"/>
                <w:kern w:val="0"/>
                <w:szCs w:val="21"/>
                <w:lang w:val="en-US" w:eastAsia="zh-CN"/>
              </w:rPr>
              <w:t>1</w:t>
            </w:r>
          </w:p>
        </w:tc>
        <w:tc>
          <w:tcPr>
            <w:tcW w:w="1000" w:type="dxa"/>
            <w:tcBorders>
              <w:top w:val="single" w:color="auto" w:sz="4" w:space="0"/>
              <w:left w:val="nil"/>
              <w:bottom w:val="single" w:color="auto" w:sz="4" w:space="0"/>
              <w:right w:val="single" w:color="auto" w:sz="4" w:space="0"/>
            </w:tcBorders>
            <w:noWrap/>
            <w:vAlign w:val="center"/>
          </w:tcPr>
          <w:p>
            <w:pPr>
              <w:widowControl/>
              <w:spacing w:line="200" w:lineRule="atLeast"/>
              <w:rPr>
                <w:rFonts w:hint="default" w:ascii="宋体" w:hAnsi="宋体" w:eastAsia="宋体" w:cs="宋体"/>
                <w:color w:val="auto"/>
                <w:kern w:val="0"/>
                <w:szCs w:val="21"/>
                <w:lang w:val="en-US" w:eastAsia="zh-CN"/>
              </w:rPr>
            </w:pPr>
            <w:r>
              <w:rPr>
                <w:rFonts w:hint="eastAsia" w:ascii="宋体" w:hAnsi="宋体" w:cs="宋体"/>
                <w:color w:val="auto"/>
                <w:kern w:val="0"/>
                <w:szCs w:val="21"/>
                <w:lang w:val="en-US" w:eastAsia="zh-CN"/>
              </w:rPr>
              <w:t>1</w:t>
            </w:r>
          </w:p>
        </w:tc>
        <w:tc>
          <w:tcPr>
            <w:tcW w:w="1446"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both"/>
              <w:textAlignment w:val="center"/>
              <w:rPr>
                <w:rFonts w:hint="eastAsia" w:ascii="宋体" w:hAnsi="宋体" w:eastAsia="宋体" w:cs="宋体"/>
                <w:color w:val="auto"/>
                <w:kern w:val="0"/>
                <w:szCs w:val="21"/>
                <w:lang w:val="en-US" w:eastAsia="zh-CN"/>
              </w:rPr>
            </w:pPr>
            <w:r>
              <w:rPr>
                <w:rFonts w:hint="eastAsia" w:ascii="宋体" w:hAnsi="宋体" w:eastAsia="宋体" w:cs="宋体"/>
                <w:i w:val="0"/>
                <w:color w:val="000000"/>
                <w:kern w:val="0"/>
                <w:sz w:val="21"/>
                <w:szCs w:val="21"/>
                <w:u w:val="none"/>
                <w:lang w:val="en-US" w:eastAsia="zh-CN" w:bidi="ar"/>
              </w:rPr>
              <w:t>100.0%</w:t>
            </w:r>
          </w:p>
        </w:tc>
      </w:tr>
      <w:tr>
        <w:tblPrEx>
          <w:tblCellMar>
            <w:top w:w="0" w:type="dxa"/>
            <w:left w:w="108" w:type="dxa"/>
            <w:bottom w:w="0" w:type="dxa"/>
            <w:right w:w="108" w:type="dxa"/>
          </w:tblCellMar>
        </w:tblPrEx>
        <w:trPr>
          <w:trHeight w:val="300" w:hRule="atLeast"/>
          <w:jc w:val="center"/>
        </w:trPr>
        <w:tc>
          <w:tcPr>
            <w:tcW w:w="1240" w:type="dxa"/>
            <w:vMerge w:val="restart"/>
            <w:tcBorders>
              <w:top w:val="nil"/>
              <w:left w:val="single" w:color="auto" w:sz="4" w:space="0"/>
              <w:bottom w:val="single" w:color="000000" w:sz="4" w:space="0"/>
              <w:right w:val="single" w:color="auto" w:sz="4" w:space="0"/>
            </w:tcBorders>
            <w:noWrap/>
            <w:vAlign w:val="center"/>
          </w:tcPr>
          <w:p>
            <w:pPr>
              <w:widowControl/>
              <w:spacing w:line="200" w:lineRule="atLeast"/>
              <w:rPr>
                <w:rFonts w:ascii="宋体" w:hAnsi="宋体" w:cs="宋体"/>
                <w:kern w:val="0"/>
                <w:szCs w:val="21"/>
              </w:rPr>
            </w:pPr>
            <w:r>
              <w:rPr>
                <w:rFonts w:hint="eastAsia" w:ascii="宋体" w:hAnsi="宋体" w:cs="宋体"/>
                <w:kern w:val="0"/>
                <w:szCs w:val="21"/>
              </w:rPr>
              <w:t>国际商务系</w:t>
            </w:r>
          </w:p>
        </w:tc>
        <w:tc>
          <w:tcPr>
            <w:tcW w:w="2112"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cs="宋体"/>
                <w:kern w:val="0"/>
                <w:szCs w:val="21"/>
              </w:rPr>
            </w:pPr>
            <w:r>
              <w:rPr>
                <w:rFonts w:hint="eastAsia" w:ascii="宋体" w:hAnsi="宋体" w:eastAsia="宋体" w:cs="宋体"/>
                <w:i w:val="0"/>
                <w:color w:val="000000"/>
                <w:kern w:val="0"/>
                <w:sz w:val="22"/>
                <w:szCs w:val="22"/>
                <w:u w:val="none"/>
                <w:lang w:val="en-US" w:eastAsia="zh-CN" w:bidi="ar"/>
              </w:rPr>
              <w:t>电子商务</w:t>
            </w:r>
          </w:p>
        </w:tc>
        <w:tc>
          <w:tcPr>
            <w:tcW w:w="638" w:type="dxa"/>
            <w:tcBorders>
              <w:top w:val="nil"/>
              <w:left w:val="nil"/>
              <w:bottom w:val="single" w:color="auto" w:sz="4" w:space="0"/>
              <w:right w:val="single" w:color="auto" w:sz="4" w:space="0"/>
            </w:tcBorders>
            <w:noWrap/>
            <w:vAlign w:val="center"/>
          </w:tcPr>
          <w:p>
            <w:pPr>
              <w:widowControl/>
              <w:spacing w:line="200" w:lineRule="atLeast"/>
              <w:rPr>
                <w:rFonts w:hint="eastAsia" w:ascii="宋体" w:hAnsi="宋体" w:eastAsia="宋体" w:cs="宋体"/>
                <w:kern w:val="0"/>
                <w:szCs w:val="21"/>
                <w:lang w:val="en-US" w:eastAsia="zh-CN"/>
              </w:rPr>
            </w:pPr>
            <w:r>
              <w:rPr>
                <w:rFonts w:hint="eastAsia" w:ascii="宋体" w:hAnsi="宋体" w:cs="宋体"/>
                <w:kern w:val="0"/>
                <w:szCs w:val="21"/>
                <w:lang w:val="en-US" w:eastAsia="zh-CN"/>
              </w:rPr>
              <w:t>3</w:t>
            </w:r>
          </w:p>
        </w:tc>
        <w:tc>
          <w:tcPr>
            <w:tcW w:w="1125" w:type="dxa"/>
            <w:tcBorders>
              <w:top w:val="nil"/>
              <w:left w:val="nil"/>
              <w:bottom w:val="single" w:color="auto" w:sz="4" w:space="0"/>
              <w:right w:val="single" w:color="auto" w:sz="4" w:space="0"/>
            </w:tcBorders>
            <w:noWrap/>
            <w:vAlign w:val="center"/>
          </w:tcPr>
          <w:p>
            <w:pPr>
              <w:widowControl/>
              <w:spacing w:line="200" w:lineRule="atLeast"/>
              <w:rPr>
                <w:rFonts w:ascii="宋体" w:hAnsi="宋体" w:cs="宋体"/>
                <w:kern w:val="0"/>
                <w:szCs w:val="21"/>
              </w:rPr>
            </w:pPr>
            <w:r>
              <w:rPr>
                <w:rFonts w:hint="eastAsia" w:ascii="宋体" w:hAnsi="宋体" w:cs="宋体"/>
                <w:kern w:val="0"/>
                <w:szCs w:val="21"/>
                <w:lang w:val="en-US" w:eastAsia="zh-CN"/>
              </w:rPr>
              <w:t>143</w:t>
            </w:r>
          </w:p>
        </w:tc>
        <w:tc>
          <w:tcPr>
            <w:tcW w:w="1000" w:type="dxa"/>
            <w:tcBorders>
              <w:top w:val="nil"/>
              <w:left w:val="nil"/>
              <w:bottom w:val="single" w:color="auto" w:sz="4" w:space="0"/>
              <w:right w:val="single" w:color="auto" w:sz="4" w:space="0"/>
            </w:tcBorders>
            <w:noWrap/>
            <w:vAlign w:val="center"/>
          </w:tcPr>
          <w:p>
            <w:pPr>
              <w:widowControl/>
              <w:spacing w:line="200" w:lineRule="atLeast"/>
              <w:rPr>
                <w:rFonts w:hint="default" w:ascii="宋体" w:hAnsi="宋体" w:eastAsia="宋体" w:cs="宋体"/>
                <w:kern w:val="0"/>
                <w:szCs w:val="21"/>
                <w:lang w:val="en-US" w:eastAsia="zh-CN"/>
              </w:rPr>
            </w:pPr>
            <w:r>
              <w:rPr>
                <w:rFonts w:hint="eastAsia" w:ascii="宋体" w:hAnsi="宋体" w:cs="宋体"/>
                <w:kern w:val="0"/>
                <w:szCs w:val="21"/>
                <w:lang w:val="en-US" w:eastAsia="zh-CN"/>
              </w:rPr>
              <w:t>132</w:t>
            </w:r>
          </w:p>
        </w:tc>
        <w:tc>
          <w:tcPr>
            <w:tcW w:w="1446" w:type="dxa"/>
            <w:tcBorders>
              <w:top w:val="nil"/>
              <w:left w:val="nil"/>
              <w:bottom w:val="single" w:color="auto" w:sz="4" w:space="0"/>
              <w:right w:val="single" w:color="auto" w:sz="4" w:space="0"/>
            </w:tcBorders>
            <w:noWrap/>
            <w:vAlign w:val="center"/>
          </w:tcPr>
          <w:p>
            <w:pPr>
              <w:keepNext w:val="0"/>
              <w:keepLines w:val="0"/>
              <w:widowControl/>
              <w:suppressLineNumbers w:val="0"/>
              <w:jc w:val="both"/>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92.3%</w:t>
            </w:r>
          </w:p>
        </w:tc>
      </w:tr>
      <w:tr>
        <w:tblPrEx>
          <w:tblCellMar>
            <w:top w:w="0" w:type="dxa"/>
            <w:left w:w="108" w:type="dxa"/>
            <w:bottom w:w="0" w:type="dxa"/>
            <w:right w:w="108" w:type="dxa"/>
          </w:tblCellMar>
        </w:tblPrEx>
        <w:trPr>
          <w:trHeight w:val="300" w:hRule="atLeast"/>
          <w:jc w:val="center"/>
        </w:trPr>
        <w:tc>
          <w:tcPr>
            <w:tcW w:w="1240" w:type="dxa"/>
            <w:vMerge w:val="continue"/>
            <w:tcBorders>
              <w:top w:val="nil"/>
              <w:left w:val="single" w:color="auto" w:sz="4" w:space="0"/>
              <w:bottom w:val="single" w:color="000000" w:sz="4" w:space="0"/>
              <w:right w:val="single" w:color="auto" w:sz="4" w:space="0"/>
            </w:tcBorders>
            <w:noWrap/>
            <w:vAlign w:val="center"/>
          </w:tcPr>
          <w:p>
            <w:pPr>
              <w:widowControl/>
              <w:spacing w:line="200" w:lineRule="atLeast"/>
              <w:rPr>
                <w:rFonts w:ascii="宋体" w:hAnsi="宋体" w:cs="宋体"/>
                <w:kern w:val="0"/>
                <w:szCs w:val="21"/>
              </w:rPr>
            </w:pPr>
          </w:p>
        </w:tc>
        <w:tc>
          <w:tcPr>
            <w:tcW w:w="2112"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cs="宋体"/>
                <w:kern w:val="0"/>
                <w:szCs w:val="21"/>
              </w:rPr>
            </w:pPr>
            <w:r>
              <w:rPr>
                <w:rFonts w:hint="eastAsia" w:ascii="宋体" w:hAnsi="宋体" w:eastAsia="宋体" w:cs="宋体"/>
                <w:i w:val="0"/>
                <w:color w:val="000000"/>
                <w:kern w:val="0"/>
                <w:sz w:val="22"/>
                <w:szCs w:val="22"/>
                <w:u w:val="none"/>
                <w:lang w:val="en-US" w:eastAsia="zh-CN" w:bidi="ar"/>
              </w:rPr>
              <w:t>电子商务</w:t>
            </w:r>
          </w:p>
        </w:tc>
        <w:tc>
          <w:tcPr>
            <w:tcW w:w="638" w:type="dxa"/>
            <w:tcBorders>
              <w:top w:val="nil"/>
              <w:left w:val="nil"/>
              <w:bottom w:val="single" w:color="auto" w:sz="4" w:space="0"/>
              <w:right w:val="single" w:color="auto" w:sz="4" w:space="0"/>
            </w:tcBorders>
            <w:noWrap/>
            <w:vAlign w:val="center"/>
          </w:tcPr>
          <w:p>
            <w:pPr>
              <w:widowControl/>
              <w:spacing w:line="200" w:lineRule="atLeast"/>
              <w:rPr>
                <w:rFonts w:hint="eastAsia" w:ascii="宋体" w:hAnsi="宋体" w:eastAsia="宋体" w:cs="宋体"/>
                <w:kern w:val="0"/>
                <w:szCs w:val="21"/>
                <w:lang w:eastAsia="zh-CN"/>
              </w:rPr>
            </w:pPr>
            <w:r>
              <w:rPr>
                <w:rFonts w:hint="eastAsia" w:ascii="宋体" w:hAnsi="宋体" w:cs="宋体"/>
                <w:kern w:val="0"/>
                <w:szCs w:val="21"/>
                <w:lang w:val="en-US" w:eastAsia="zh-CN"/>
              </w:rPr>
              <w:t>2</w:t>
            </w:r>
          </w:p>
        </w:tc>
        <w:tc>
          <w:tcPr>
            <w:tcW w:w="1125" w:type="dxa"/>
            <w:tcBorders>
              <w:top w:val="nil"/>
              <w:left w:val="nil"/>
              <w:bottom w:val="single" w:color="auto" w:sz="4" w:space="0"/>
              <w:right w:val="single" w:color="auto" w:sz="4" w:space="0"/>
            </w:tcBorders>
            <w:noWrap/>
            <w:vAlign w:val="center"/>
          </w:tcPr>
          <w:p>
            <w:pPr>
              <w:widowControl/>
              <w:spacing w:line="200" w:lineRule="atLeast"/>
              <w:rPr>
                <w:rFonts w:ascii="宋体" w:hAnsi="宋体" w:cs="宋体"/>
                <w:kern w:val="0"/>
                <w:szCs w:val="21"/>
              </w:rPr>
            </w:pPr>
            <w:r>
              <w:rPr>
                <w:rFonts w:hint="eastAsia" w:ascii="宋体" w:hAnsi="宋体" w:cs="宋体"/>
                <w:kern w:val="0"/>
                <w:szCs w:val="21"/>
                <w:lang w:val="en-US" w:eastAsia="zh-CN"/>
              </w:rPr>
              <w:t>7</w:t>
            </w:r>
          </w:p>
        </w:tc>
        <w:tc>
          <w:tcPr>
            <w:tcW w:w="1000" w:type="dxa"/>
            <w:tcBorders>
              <w:top w:val="nil"/>
              <w:left w:val="nil"/>
              <w:bottom w:val="single" w:color="auto" w:sz="4" w:space="0"/>
              <w:right w:val="single" w:color="auto" w:sz="4" w:space="0"/>
            </w:tcBorders>
            <w:noWrap/>
            <w:vAlign w:val="center"/>
          </w:tcPr>
          <w:p>
            <w:pPr>
              <w:widowControl/>
              <w:spacing w:line="200" w:lineRule="atLeast"/>
              <w:rPr>
                <w:rFonts w:hint="default" w:ascii="宋体" w:hAnsi="宋体" w:eastAsia="宋体" w:cs="宋体"/>
                <w:kern w:val="0"/>
                <w:szCs w:val="21"/>
                <w:lang w:val="en-US" w:eastAsia="zh-CN"/>
              </w:rPr>
            </w:pPr>
            <w:r>
              <w:rPr>
                <w:rFonts w:hint="eastAsia" w:ascii="宋体" w:hAnsi="宋体" w:cs="宋体"/>
                <w:kern w:val="0"/>
                <w:szCs w:val="21"/>
                <w:lang w:val="en-US" w:eastAsia="zh-CN"/>
              </w:rPr>
              <w:t>6</w:t>
            </w:r>
          </w:p>
        </w:tc>
        <w:tc>
          <w:tcPr>
            <w:tcW w:w="1446" w:type="dxa"/>
            <w:tcBorders>
              <w:top w:val="nil"/>
              <w:left w:val="nil"/>
              <w:bottom w:val="single" w:color="auto" w:sz="4" w:space="0"/>
              <w:right w:val="single" w:color="auto" w:sz="4" w:space="0"/>
            </w:tcBorders>
            <w:noWrap/>
            <w:vAlign w:val="center"/>
          </w:tcPr>
          <w:p>
            <w:pPr>
              <w:keepNext w:val="0"/>
              <w:keepLines w:val="0"/>
              <w:widowControl/>
              <w:suppressLineNumbers w:val="0"/>
              <w:jc w:val="both"/>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85.7%</w:t>
            </w:r>
          </w:p>
        </w:tc>
      </w:tr>
      <w:tr>
        <w:tblPrEx>
          <w:tblCellMar>
            <w:top w:w="0" w:type="dxa"/>
            <w:left w:w="108" w:type="dxa"/>
            <w:bottom w:w="0" w:type="dxa"/>
            <w:right w:w="108" w:type="dxa"/>
          </w:tblCellMar>
        </w:tblPrEx>
        <w:trPr>
          <w:trHeight w:val="280" w:hRule="atLeast"/>
          <w:jc w:val="center"/>
        </w:trPr>
        <w:tc>
          <w:tcPr>
            <w:tcW w:w="1240" w:type="dxa"/>
            <w:vMerge w:val="continue"/>
            <w:tcBorders>
              <w:top w:val="nil"/>
              <w:left w:val="single" w:color="auto" w:sz="4" w:space="0"/>
              <w:bottom w:val="single" w:color="000000" w:sz="4" w:space="0"/>
              <w:right w:val="single" w:color="auto" w:sz="4" w:space="0"/>
            </w:tcBorders>
            <w:noWrap/>
            <w:vAlign w:val="center"/>
          </w:tcPr>
          <w:p>
            <w:pPr>
              <w:widowControl/>
              <w:spacing w:line="200" w:lineRule="atLeast"/>
              <w:rPr>
                <w:rFonts w:ascii="宋体" w:hAnsi="宋体" w:cs="宋体"/>
                <w:kern w:val="0"/>
                <w:szCs w:val="21"/>
              </w:rPr>
            </w:pPr>
          </w:p>
        </w:tc>
        <w:tc>
          <w:tcPr>
            <w:tcW w:w="2112" w:type="dxa"/>
            <w:tcBorders>
              <w:top w:val="nil"/>
              <w:left w:val="nil"/>
              <w:bottom w:val="single" w:color="auto" w:sz="4" w:space="0"/>
              <w:right w:val="single" w:color="auto" w:sz="4" w:space="0"/>
            </w:tcBorders>
            <w:noWrap/>
            <w:vAlign w:val="center"/>
          </w:tcPr>
          <w:p>
            <w:pPr>
              <w:widowControl/>
              <w:spacing w:line="200" w:lineRule="atLeast"/>
              <w:rPr>
                <w:rFonts w:ascii="宋体" w:hAnsi="宋体" w:cs="宋体"/>
                <w:kern w:val="0"/>
                <w:szCs w:val="21"/>
              </w:rPr>
            </w:pPr>
            <w:r>
              <w:rPr>
                <w:rFonts w:hint="eastAsia" w:ascii="宋体" w:hAnsi="宋体" w:cs="宋体"/>
                <w:kern w:val="0"/>
                <w:szCs w:val="21"/>
              </w:rPr>
              <w:t>国</w:t>
            </w:r>
            <w:r>
              <w:rPr>
                <w:rFonts w:hint="eastAsia" w:ascii="宋体" w:hAnsi="宋体" w:cs="宋体"/>
                <w:kern w:val="0"/>
                <w:szCs w:val="21"/>
                <w:lang w:val="en-US" w:eastAsia="zh-CN"/>
              </w:rPr>
              <w:t>际贸易实务</w:t>
            </w:r>
          </w:p>
        </w:tc>
        <w:tc>
          <w:tcPr>
            <w:tcW w:w="638" w:type="dxa"/>
            <w:tcBorders>
              <w:top w:val="nil"/>
              <w:left w:val="nil"/>
              <w:bottom w:val="single" w:color="auto" w:sz="4" w:space="0"/>
              <w:right w:val="single" w:color="auto" w:sz="4" w:space="0"/>
            </w:tcBorders>
            <w:noWrap/>
            <w:vAlign w:val="center"/>
          </w:tcPr>
          <w:p>
            <w:pPr>
              <w:widowControl/>
              <w:spacing w:line="200" w:lineRule="atLeast"/>
              <w:rPr>
                <w:rFonts w:ascii="宋体" w:hAnsi="宋体" w:cs="宋体"/>
                <w:kern w:val="0"/>
                <w:szCs w:val="21"/>
              </w:rPr>
            </w:pPr>
            <w:r>
              <w:rPr>
                <w:rFonts w:hint="eastAsia" w:ascii="宋体" w:hAnsi="宋体" w:cs="宋体"/>
                <w:kern w:val="0"/>
                <w:szCs w:val="21"/>
              </w:rPr>
              <w:t>3</w:t>
            </w:r>
          </w:p>
        </w:tc>
        <w:tc>
          <w:tcPr>
            <w:tcW w:w="1125" w:type="dxa"/>
            <w:tcBorders>
              <w:top w:val="nil"/>
              <w:left w:val="nil"/>
              <w:bottom w:val="single" w:color="auto" w:sz="4" w:space="0"/>
              <w:right w:val="single" w:color="auto" w:sz="4" w:space="0"/>
            </w:tcBorders>
            <w:noWrap/>
            <w:vAlign w:val="center"/>
          </w:tcPr>
          <w:p>
            <w:pPr>
              <w:widowControl/>
              <w:spacing w:line="200" w:lineRule="atLeast"/>
              <w:rPr>
                <w:rFonts w:ascii="宋体" w:hAnsi="宋体" w:cs="宋体"/>
                <w:kern w:val="0"/>
                <w:szCs w:val="21"/>
              </w:rPr>
            </w:pPr>
            <w:r>
              <w:rPr>
                <w:rFonts w:hint="eastAsia" w:ascii="宋体" w:hAnsi="宋体" w:cs="宋体"/>
                <w:kern w:val="0"/>
                <w:szCs w:val="21"/>
              </w:rPr>
              <w:t>3</w:t>
            </w:r>
            <w:r>
              <w:rPr>
                <w:rFonts w:hint="eastAsia" w:ascii="宋体" w:hAnsi="宋体" w:cs="宋体"/>
                <w:kern w:val="0"/>
                <w:szCs w:val="21"/>
                <w:lang w:val="en-US" w:eastAsia="zh-CN"/>
              </w:rPr>
              <w:t>7</w:t>
            </w:r>
          </w:p>
        </w:tc>
        <w:tc>
          <w:tcPr>
            <w:tcW w:w="1000" w:type="dxa"/>
            <w:tcBorders>
              <w:top w:val="nil"/>
              <w:left w:val="nil"/>
              <w:bottom w:val="single" w:color="auto" w:sz="4" w:space="0"/>
              <w:right w:val="single" w:color="auto" w:sz="4" w:space="0"/>
            </w:tcBorders>
            <w:noWrap/>
            <w:vAlign w:val="center"/>
          </w:tcPr>
          <w:p>
            <w:pPr>
              <w:widowControl/>
              <w:spacing w:line="200" w:lineRule="atLeast"/>
              <w:rPr>
                <w:rFonts w:hint="default" w:ascii="宋体" w:hAnsi="宋体" w:eastAsia="宋体" w:cs="宋体"/>
                <w:kern w:val="0"/>
                <w:szCs w:val="21"/>
                <w:lang w:val="en-US" w:eastAsia="zh-CN"/>
              </w:rPr>
            </w:pPr>
            <w:r>
              <w:rPr>
                <w:rFonts w:hint="eastAsia" w:ascii="宋体" w:hAnsi="宋体" w:cs="宋体"/>
                <w:kern w:val="0"/>
                <w:szCs w:val="21"/>
                <w:lang w:val="en-US" w:eastAsia="zh-CN"/>
              </w:rPr>
              <w:t>35</w:t>
            </w:r>
          </w:p>
        </w:tc>
        <w:tc>
          <w:tcPr>
            <w:tcW w:w="1446" w:type="dxa"/>
            <w:tcBorders>
              <w:top w:val="nil"/>
              <w:left w:val="nil"/>
              <w:bottom w:val="single" w:color="auto" w:sz="4" w:space="0"/>
              <w:right w:val="single" w:color="auto" w:sz="4" w:space="0"/>
            </w:tcBorders>
            <w:noWrap/>
            <w:vAlign w:val="center"/>
          </w:tcPr>
          <w:p>
            <w:pPr>
              <w:keepNext w:val="0"/>
              <w:keepLines w:val="0"/>
              <w:widowControl/>
              <w:suppressLineNumbers w:val="0"/>
              <w:jc w:val="both"/>
              <w:textAlignment w:val="center"/>
              <w:rPr>
                <w:rFonts w:hint="eastAsia" w:ascii="宋体" w:hAnsi="宋体" w:cs="宋体"/>
                <w:kern w:val="0"/>
                <w:szCs w:val="21"/>
              </w:rPr>
            </w:pPr>
            <w:r>
              <w:rPr>
                <w:rFonts w:hint="eastAsia" w:ascii="宋体" w:hAnsi="宋体" w:eastAsia="宋体" w:cs="宋体"/>
                <w:i w:val="0"/>
                <w:color w:val="000000"/>
                <w:kern w:val="0"/>
                <w:sz w:val="21"/>
                <w:szCs w:val="21"/>
                <w:u w:val="none"/>
                <w:lang w:val="en-US" w:eastAsia="zh-CN" w:bidi="ar"/>
              </w:rPr>
              <w:t>94.6%</w:t>
            </w:r>
          </w:p>
        </w:tc>
      </w:tr>
      <w:tr>
        <w:tblPrEx>
          <w:tblCellMar>
            <w:top w:w="0" w:type="dxa"/>
            <w:left w:w="108" w:type="dxa"/>
            <w:bottom w:w="0" w:type="dxa"/>
            <w:right w:w="108" w:type="dxa"/>
          </w:tblCellMar>
        </w:tblPrEx>
        <w:trPr>
          <w:trHeight w:val="250" w:hRule="atLeast"/>
          <w:jc w:val="center"/>
        </w:trPr>
        <w:tc>
          <w:tcPr>
            <w:tcW w:w="1240" w:type="dxa"/>
            <w:vMerge w:val="continue"/>
            <w:tcBorders>
              <w:top w:val="nil"/>
              <w:left w:val="single" w:color="auto" w:sz="4" w:space="0"/>
              <w:bottom w:val="single" w:color="000000" w:sz="4" w:space="0"/>
              <w:right w:val="single" w:color="auto" w:sz="4" w:space="0"/>
            </w:tcBorders>
            <w:noWrap/>
            <w:vAlign w:val="center"/>
          </w:tcPr>
          <w:p>
            <w:pPr>
              <w:widowControl/>
              <w:spacing w:line="200" w:lineRule="atLeast"/>
              <w:rPr>
                <w:rFonts w:ascii="宋体" w:hAnsi="宋体" w:cs="宋体"/>
                <w:kern w:val="0"/>
                <w:szCs w:val="21"/>
              </w:rPr>
            </w:pPr>
          </w:p>
        </w:tc>
        <w:tc>
          <w:tcPr>
            <w:tcW w:w="2112"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会计</w:t>
            </w:r>
          </w:p>
        </w:tc>
        <w:tc>
          <w:tcPr>
            <w:tcW w:w="638" w:type="dxa"/>
            <w:tcBorders>
              <w:top w:val="nil"/>
              <w:left w:val="nil"/>
              <w:bottom w:val="single" w:color="auto" w:sz="4" w:space="0"/>
              <w:right w:val="single" w:color="auto" w:sz="4" w:space="0"/>
            </w:tcBorders>
            <w:noWrap/>
            <w:vAlign w:val="center"/>
          </w:tcPr>
          <w:p>
            <w:pPr>
              <w:widowControl/>
              <w:spacing w:line="200" w:lineRule="atLeast"/>
              <w:rPr>
                <w:rFonts w:ascii="宋体" w:hAnsi="宋体" w:cs="宋体"/>
                <w:kern w:val="0"/>
                <w:szCs w:val="21"/>
              </w:rPr>
            </w:pPr>
            <w:r>
              <w:rPr>
                <w:rFonts w:hint="eastAsia" w:ascii="宋体" w:hAnsi="宋体" w:cs="宋体"/>
                <w:kern w:val="0"/>
                <w:szCs w:val="21"/>
              </w:rPr>
              <w:t>3</w:t>
            </w:r>
          </w:p>
        </w:tc>
        <w:tc>
          <w:tcPr>
            <w:tcW w:w="1125" w:type="dxa"/>
            <w:tcBorders>
              <w:top w:val="nil"/>
              <w:left w:val="nil"/>
              <w:bottom w:val="single" w:color="auto" w:sz="4" w:space="0"/>
              <w:right w:val="single" w:color="auto" w:sz="4" w:space="0"/>
            </w:tcBorders>
            <w:noWrap/>
            <w:vAlign w:val="center"/>
          </w:tcPr>
          <w:p>
            <w:pPr>
              <w:widowControl/>
              <w:spacing w:line="200" w:lineRule="atLeast"/>
              <w:rPr>
                <w:rFonts w:ascii="宋体" w:hAnsi="宋体" w:cs="宋体"/>
                <w:kern w:val="0"/>
                <w:szCs w:val="21"/>
              </w:rPr>
            </w:pPr>
            <w:r>
              <w:rPr>
                <w:rFonts w:hint="eastAsia" w:ascii="宋体" w:hAnsi="宋体" w:cs="宋体"/>
                <w:kern w:val="0"/>
                <w:szCs w:val="21"/>
                <w:lang w:val="en-US" w:eastAsia="zh-CN"/>
              </w:rPr>
              <w:t>33</w:t>
            </w:r>
          </w:p>
        </w:tc>
        <w:tc>
          <w:tcPr>
            <w:tcW w:w="1000" w:type="dxa"/>
            <w:tcBorders>
              <w:top w:val="nil"/>
              <w:left w:val="nil"/>
              <w:bottom w:val="single" w:color="auto" w:sz="4" w:space="0"/>
              <w:right w:val="single" w:color="auto" w:sz="4" w:space="0"/>
            </w:tcBorders>
            <w:noWrap/>
            <w:vAlign w:val="center"/>
          </w:tcPr>
          <w:p>
            <w:pPr>
              <w:widowControl/>
              <w:spacing w:line="200" w:lineRule="atLeast"/>
              <w:rPr>
                <w:rFonts w:hint="default" w:ascii="宋体" w:hAnsi="宋体" w:eastAsia="宋体" w:cs="宋体"/>
                <w:kern w:val="0"/>
                <w:szCs w:val="21"/>
                <w:lang w:val="en-US" w:eastAsia="zh-CN"/>
              </w:rPr>
            </w:pPr>
            <w:r>
              <w:rPr>
                <w:rFonts w:hint="eastAsia" w:ascii="宋体" w:hAnsi="宋体" w:cs="宋体"/>
                <w:kern w:val="0"/>
                <w:szCs w:val="21"/>
                <w:lang w:val="en-US" w:eastAsia="zh-CN"/>
              </w:rPr>
              <w:t>32</w:t>
            </w:r>
          </w:p>
        </w:tc>
        <w:tc>
          <w:tcPr>
            <w:tcW w:w="1446" w:type="dxa"/>
            <w:tcBorders>
              <w:top w:val="nil"/>
              <w:left w:val="nil"/>
              <w:bottom w:val="single" w:color="auto" w:sz="4" w:space="0"/>
              <w:right w:val="single" w:color="auto" w:sz="4" w:space="0"/>
            </w:tcBorders>
            <w:noWrap/>
            <w:vAlign w:val="center"/>
          </w:tcPr>
          <w:p>
            <w:pPr>
              <w:keepNext w:val="0"/>
              <w:keepLines w:val="0"/>
              <w:widowControl/>
              <w:suppressLineNumbers w:val="0"/>
              <w:jc w:val="both"/>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97.0%</w:t>
            </w:r>
          </w:p>
        </w:tc>
      </w:tr>
      <w:tr>
        <w:tblPrEx>
          <w:tblCellMar>
            <w:top w:w="0" w:type="dxa"/>
            <w:left w:w="108" w:type="dxa"/>
            <w:bottom w:w="0" w:type="dxa"/>
            <w:right w:w="108" w:type="dxa"/>
          </w:tblCellMar>
        </w:tblPrEx>
        <w:trPr>
          <w:trHeight w:val="160" w:hRule="atLeast"/>
          <w:jc w:val="center"/>
        </w:trPr>
        <w:tc>
          <w:tcPr>
            <w:tcW w:w="1240" w:type="dxa"/>
            <w:vMerge w:val="continue"/>
            <w:tcBorders>
              <w:top w:val="nil"/>
              <w:left w:val="single" w:color="auto" w:sz="4" w:space="0"/>
              <w:bottom w:val="single" w:color="000000" w:sz="4" w:space="0"/>
              <w:right w:val="single" w:color="auto" w:sz="4" w:space="0"/>
            </w:tcBorders>
            <w:noWrap/>
            <w:vAlign w:val="center"/>
          </w:tcPr>
          <w:p>
            <w:pPr>
              <w:widowControl/>
              <w:spacing w:line="200" w:lineRule="atLeast"/>
              <w:rPr>
                <w:rFonts w:ascii="宋体" w:hAnsi="宋体" w:cs="宋体"/>
                <w:kern w:val="0"/>
                <w:szCs w:val="21"/>
              </w:rPr>
            </w:pPr>
          </w:p>
        </w:tc>
        <w:tc>
          <w:tcPr>
            <w:tcW w:w="2112"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会计</w:t>
            </w:r>
          </w:p>
        </w:tc>
        <w:tc>
          <w:tcPr>
            <w:tcW w:w="638" w:type="dxa"/>
            <w:tcBorders>
              <w:top w:val="nil"/>
              <w:left w:val="nil"/>
              <w:bottom w:val="single" w:color="auto" w:sz="4" w:space="0"/>
              <w:right w:val="single" w:color="auto" w:sz="4" w:space="0"/>
            </w:tcBorders>
            <w:noWrap/>
            <w:vAlign w:val="center"/>
          </w:tcPr>
          <w:p>
            <w:pPr>
              <w:widowControl/>
              <w:spacing w:line="200" w:lineRule="atLeast"/>
              <w:rPr>
                <w:rFonts w:ascii="宋体" w:hAnsi="宋体" w:cs="宋体"/>
                <w:kern w:val="0"/>
                <w:szCs w:val="21"/>
              </w:rPr>
            </w:pPr>
            <w:r>
              <w:rPr>
                <w:rFonts w:hint="eastAsia" w:ascii="宋体" w:hAnsi="宋体" w:cs="宋体"/>
                <w:kern w:val="0"/>
                <w:szCs w:val="21"/>
              </w:rPr>
              <w:t>2</w:t>
            </w:r>
          </w:p>
        </w:tc>
        <w:tc>
          <w:tcPr>
            <w:tcW w:w="1125" w:type="dxa"/>
            <w:tcBorders>
              <w:top w:val="nil"/>
              <w:left w:val="nil"/>
              <w:bottom w:val="single" w:color="auto" w:sz="4" w:space="0"/>
              <w:right w:val="single" w:color="auto" w:sz="4" w:space="0"/>
            </w:tcBorders>
            <w:noWrap/>
            <w:vAlign w:val="center"/>
          </w:tcPr>
          <w:p>
            <w:pPr>
              <w:widowControl/>
              <w:spacing w:line="200" w:lineRule="atLeast"/>
              <w:rPr>
                <w:rFonts w:ascii="宋体" w:hAnsi="宋体" w:cs="宋体"/>
                <w:kern w:val="0"/>
                <w:szCs w:val="21"/>
              </w:rPr>
            </w:pPr>
            <w:r>
              <w:rPr>
                <w:rFonts w:hint="eastAsia" w:ascii="宋体" w:hAnsi="宋体" w:cs="宋体"/>
                <w:kern w:val="0"/>
                <w:szCs w:val="21"/>
                <w:lang w:val="en-US" w:eastAsia="zh-CN"/>
              </w:rPr>
              <w:t>12</w:t>
            </w:r>
          </w:p>
        </w:tc>
        <w:tc>
          <w:tcPr>
            <w:tcW w:w="1000" w:type="dxa"/>
            <w:tcBorders>
              <w:top w:val="nil"/>
              <w:left w:val="nil"/>
              <w:bottom w:val="single" w:color="auto" w:sz="4" w:space="0"/>
              <w:right w:val="single" w:color="auto" w:sz="4" w:space="0"/>
            </w:tcBorders>
            <w:noWrap/>
            <w:vAlign w:val="center"/>
          </w:tcPr>
          <w:p>
            <w:pPr>
              <w:widowControl/>
              <w:spacing w:line="200" w:lineRule="atLeast"/>
              <w:rPr>
                <w:rFonts w:hint="default" w:ascii="宋体" w:hAnsi="宋体" w:cs="宋体"/>
                <w:kern w:val="0"/>
                <w:szCs w:val="21"/>
                <w:lang w:val="en-US" w:eastAsia="zh-CN"/>
              </w:rPr>
            </w:pPr>
            <w:r>
              <w:rPr>
                <w:rFonts w:hint="eastAsia" w:ascii="宋体" w:hAnsi="宋体" w:cs="宋体"/>
                <w:kern w:val="0"/>
                <w:szCs w:val="21"/>
                <w:lang w:val="en-US" w:eastAsia="zh-CN"/>
              </w:rPr>
              <w:t>7</w:t>
            </w:r>
          </w:p>
        </w:tc>
        <w:tc>
          <w:tcPr>
            <w:tcW w:w="1446" w:type="dxa"/>
            <w:tcBorders>
              <w:top w:val="nil"/>
              <w:left w:val="nil"/>
              <w:bottom w:val="single" w:color="auto" w:sz="4" w:space="0"/>
              <w:right w:val="single" w:color="auto" w:sz="4" w:space="0"/>
            </w:tcBorders>
            <w:noWrap/>
            <w:vAlign w:val="center"/>
          </w:tcPr>
          <w:p>
            <w:pPr>
              <w:keepNext w:val="0"/>
              <w:keepLines w:val="0"/>
              <w:widowControl/>
              <w:suppressLineNumbers w:val="0"/>
              <w:jc w:val="both"/>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58.3%</w:t>
            </w:r>
          </w:p>
        </w:tc>
      </w:tr>
      <w:tr>
        <w:tblPrEx>
          <w:tblCellMar>
            <w:top w:w="0" w:type="dxa"/>
            <w:left w:w="108" w:type="dxa"/>
            <w:bottom w:w="0" w:type="dxa"/>
            <w:right w:w="108" w:type="dxa"/>
          </w:tblCellMar>
        </w:tblPrEx>
        <w:trPr>
          <w:trHeight w:val="90" w:hRule="atLeast"/>
          <w:jc w:val="center"/>
        </w:trPr>
        <w:tc>
          <w:tcPr>
            <w:tcW w:w="1240" w:type="dxa"/>
            <w:vMerge w:val="continue"/>
            <w:tcBorders>
              <w:left w:val="single" w:color="auto" w:sz="4" w:space="0"/>
              <w:bottom w:val="single" w:color="000000" w:sz="4" w:space="0"/>
              <w:right w:val="single" w:color="auto" w:sz="4" w:space="0"/>
            </w:tcBorders>
            <w:noWrap/>
            <w:vAlign w:val="center"/>
          </w:tcPr>
          <w:p>
            <w:pPr>
              <w:widowControl/>
              <w:spacing w:line="200" w:lineRule="atLeast"/>
              <w:rPr>
                <w:rFonts w:ascii="宋体" w:hAnsi="宋体" w:cs="宋体"/>
                <w:kern w:val="0"/>
                <w:szCs w:val="21"/>
              </w:rPr>
            </w:pPr>
          </w:p>
        </w:tc>
        <w:tc>
          <w:tcPr>
            <w:tcW w:w="2112"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商务英语</w:t>
            </w:r>
          </w:p>
        </w:tc>
        <w:tc>
          <w:tcPr>
            <w:tcW w:w="638" w:type="dxa"/>
            <w:tcBorders>
              <w:top w:val="single" w:color="auto" w:sz="4" w:space="0"/>
              <w:left w:val="nil"/>
              <w:bottom w:val="single" w:color="auto" w:sz="4" w:space="0"/>
              <w:right w:val="single" w:color="auto" w:sz="4" w:space="0"/>
            </w:tcBorders>
            <w:noWrap/>
            <w:vAlign w:val="center"/>
          </w:tcPr>
          <w:p>
            <w:pPr>
              <w:widowControl/>
              <w:spacing w:line="200" w:lineRule="atLeast"/>
              <w:rPr>
                <w:rFonts w:hint="default" w:ascii="宋体" w:hAnsi="宋体" w:eastAsia="宋体" w:cs="宋体"/>
                <w:kern w:val="0"/>
                <w:szCs w:val="21"/>
                <w:lang w:val="en-US" w:eastAsia="zh-CN"/>
              </w:rPr>
            </w:pPr>
            <w:r>
              <w:rPr>
                <w:rFonts w:hint="eastAsia" w:ascii="宋体" w:hAnsi="宋体" w:cs="宋体"/>
                <w:kern w:val="0"/>
                <w:szCs w:val="21"/>
                <w:lang w:val="en-US" w:eastAsia="zh-CN"/>
              </w:rPr>
              <w:t>5</w:t>
            </w:r>
          </w:p>
        </w:tc>
        <w:tc>
          <w:tcPr>
            <w:tcW w:w="1125" w:type="dxa"/>
            <w:tcBorders>
              <w:top w:val="single" w:color="auto" w:sz="4" w:space="0"/>
              <w:left w:val="nil"/>
              <w:bottom w:val="single" w:color="auto" w:sz="4" w:space="0"/>
              <w:right w:val="single" w:color="auto" w:sz="4" w:space="0"/>
            </w:tcBorders>
            <w:noWrap/>
            <w:vAlign w:val="center"/>
          </w:tcPr>
          <w:p>
            <w:pPr>
              <w:widowControl/>
              <w:spacing w:line="200" w:lineRule="atLeast"/>
              <w:rPr>
                <w:rFonts w:hint="eastAsia" w:ascii="宋体" w:hAnsi="宋体" w:cs="宋体"/>
                <w:kern w:val="0"/>
                <w:szCs w:val="21"/>
              </w:rPr>
            </w:pPr>
            <w:r>
              <w:rPr>
                <w:rFonts w:hint="eastAsia" w:ascii="宋体" w:hAnsi="宋体" w:cs="宋体"/>
                <w:kern w:val="0"/>
                <w:szCs w:val="21"/>
                <w:lang w:val="en-US" w:eastAsia="zh-CN"/>
              </w:rPr>
              <w:t>53</w:t>
            </w:r>
          </w:p>
        </w:tc>
        <w:tc>
          <w:tcPr>
            <w:tcW w:w="1000" w:type="dxa"/>
            <w:tcBorders>
              <w:top w:val="single" w:color="auto" w:sz="4" w:space="0"/>
              <w:left w:val="nil"/>
              <w:bottom w:val="single" w:color="auto" w:sz="4" w:space="0"/>
              <w:right w:val="single" w:color="auto" w:sz="4" w:space="0"/>
            </w:tcBorders>
            <w:noWrap/>
            <w:vAlign w:val="center"/>
          </w:tcPr>
          <w:p>
            <w:pPr>
              <w:widowControl/>
              <w:spacing w:line="200" w:lineRule="atLeast"/>
              <w:rPr>
                <w:rFonts w:hint="default" w:ascii="宋体" w:hAnsi="宋体" w:cs="宋体"/>
                <w:kern w:val="0"/>
                <w:szCs w:val="21"/>
                <w:lang w:val="en-US" w:eastAsia="zh-CN"/>
              </w:rPr>
            </w:pPr>
            <w:r>
              <w:rPr>
                <w:rFonts w:hint="eastAsia" w:ascii="宋体" w:hAnsi="宋体" w:cs="宋体"/>
                <w:kern w:val="0"/>
                <w:szCs w:val="21"/>
                <w:lang w:val="en-US" w:eastAsia="zh-CN"/>
              </w:rPr>
              <w:t>50</w:t>
            </w:r>
          </w:p>
        </w:tc>
        <w:tc>
          <w:tcPr>
            <w:tcW w:w="1446"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both"/>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94.3%</w:t>
            </w:r>
          </w:p>
        </w:tc>
      </w:tr>
      <w:tr>
        <w:tblPrEx>
          <w:tblCellMar>
            <w:top w:w="0" w:type="dxa"/>
            <w:left w:w="108" w:type="dxa"/>
            <w:bottom w:w="0" w:type="dxa"/>
            <w:right w:w="108" w:type="dxa"/>
          </w:tblCellMar>
        </w:tblPrEx>
        <w:trPr>
          <w:trHeight w:val="132" w:hRule="atLeast"/>
          <w:jc w:val="center"/>
        </w:trPr>
        <w:tc>
          <w:tcPr>
            <w:tcW w:w="1240" w:type="dxa"/>
            <w:vMerge w:val="continue"/>
            <w:tcBorders>
              <w:left w:val="single" w:color="auto" w:sz="4" w:space="0"/>
              <w:bottom w:val="single" w:color="000000" w:sz="4" w:space="0"/>
              <w:right w:val="single" w:color="auto" w:sz="4" w:space="0"/>
            </w:tcBorders>
            <w:noWrap/>
            <w:vAlign w:val="center"/>
          </w:tcPr>
          <w:p>
            <w:pPr>
              <w:widowControl/>
              <w:spacing w:line="200" w:lineRule="atLeast"/>
              <w:rPr>
                <w:rFonts w:ascii="宋体" w:hAnsi="宋体" w:cs="宋体"/>
                <w:kern w:val="0"/>
                <w:szCs w:val="21"/>
              </w:rPr>
            </w:pPr>
          </w:p>
        </w:tc>
        <w:tc>
          <w:tcPr>
            <w:tcW w:w="2112"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商务英语</w:t>
            </w:r>
          </w:p>
        </w:tc>
        <w:tc>
          <w:tcPr>
            <w:tcW w:w="638" w:type="dxa"/>
            <w:tcBorders>
              <w:top w:val="single" w:color="auto" w:sz="4" w:space="0"/>
              <w:left w:val="nil"/>
              <w:bottom w:val="single" w:color="auto" w:sz="4" w:space="0"/>
              <w:right w:val="single" w:color="auto" w:sz="4" w:space="0"/>
            </w:tcBorders>
            <w:noWrap/>
            <w:vAlign w:val="center"/>
          </w:tcPr>
          <w:p>
            <w:pPr>
              <w:widowControl/>
              <w:spacing w:line="200" w:lineRule="atLeast"/>
              <w:rPr>
                <w:rFonts w:hint="eastAsia" w:ascii="宋体" w:hAnsi="宋体" w:eastAsia="宋体" w:cs="宋体"/>
                <w:kern w:val="0"/>
                <w:szCs w:val="21"/>
                <w:lang w:val="en-US" w:eastAsia="zh-CN"/>
              </w:rPr>
            </w:pPr>
            <w:r>
              <w:rPr>
                <w:rFonts w:hint="eastAsia" w:ascii="宋体" w:hAnsi="宋体" w:cs="宋体"/>
                <w:kern w:val="0"/>
                <w:szCs w:val="21"/>
                <w:lang w:val="en-US" w:eastAsia="zh-CN"/>
              </w:rPr>
              <w:t>3</w:t>
            </w:r>
          </w:p>
        </w:tc>
        <w:tc>
          <w:tcPr>
            <w:tcW w:w="1125" w:type="dxa"/>
            <w:tcBorders>
              <w:top w:val="single" w:color="auto" w:sz="4" w:space="0"/>
              <w:left w:val="nil"/>
              <w:bottom w:val="single" w:color="auto" w:sz="4" w:space="0"/>
              <w:right w:val="single" w:color="auto" w:sz="4" w:space="0"/>
            </w:tcBorders>
            <w:noWrap/>
            <w:vAlign w:val="center"/>
          </w:tcPr>
          <w:p>
            <w:pPr>
              <w:widowControl/>
              <w:spacing w:line="200" w:lineRule="atLeast"/>
              <w:rPr>
                <w:rFonts w:hint="eastAsia" w:ascii="宋体" w:hAnsi="宋体" w:cs="宋体"/>
                <w:kern w:val="0"/>
                <w:szCs w:val="21"/>
              </w:rPr>
            </w:pPr>
            <w:r>
              <w:rPr>
                <w:rFonts w:hint="eastAsia" w:ascii="宋体" w:hAnsi="宋体" w:cs="宋体"/>
                <w:kern w:val="0"/>
                <w:szCs w:val="21"/>
                <w:lang w:val="en-US" w:eastAsia="zh-CN"/>
              </w:rPr>
              <w:t>188</w:t>
            </w:r>
          </w:p>
        </w:tc>
        <w:tc>
          <w:tcPr>
            <w:tcW w:w="1000" w:type="dxa"/>
            <w:tcBorders>
              <w:top w:val="single" w:color="auto" w:sz="4" w:space="0"/>
              <w:left w:val="nil"/>
              <w:bottom w:val="single" w:color="auto" w:sz="4" w:space="0"/>
              <w:right w:val="single" w:color="auto" w:sz="4" w:space="0"/>
            </w:tcBorders>
            <w:noWrap/>
            <w:vAlign w:val="center"/>
          </w:tcPr>
          <w:p>
            <w:pPr>
              <w:widowControl/>
              <w:spacing w:line="200" w:lineRule="atLeast"/>
              <w:rPr>
                <w:rFonts w:hint="default" w:ascii="宋体" w:hAnsi="宋体" w:cs="宋体"/>
                <w:kern w:val="0"/>
                <w:szCs w:val="21"/>
                <w:lang w:val="en-US" w:eastAsia="zh-CN"/>
              </w:rPr>
            </w:pPr>
            <w:r>
              <w:rPr>
                <w:rFonts w:hint="eastAsia" w:ascii="宋体" w:hAnsi="宋体" w:cs="宋体"/>
                <w:kern w:val="0"/>
                <w:szCs w:val="21"/>
                <w:lang w:val="en-US" w:eastAsia="zh-CN"/>
              </w:rPr>
              <w:t>187</w:t>
            </w:r>
          </w:p>
        </w:tc>
        <w:tc>
          <w:tcPr>
            <w:tcW w:w="1446"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both"/>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99.5%</w:t>
            </w:r>
          </w:p>
        </w:tc>
      </w:tr>
      <w:tr>
        <w:tblPrEx>
          <w:tblCellMar>
            <w:top w:w="0" w:type="dxa"/>
            <w:left w:w="108" w:type="dxa"/>
            <w:bottom w:w="0" w:type="dxa"/>
            <w:right w:w="108" w:type="dxa"/>
          </w:tblCellMar>
        </w:tblPrEx>
        <w:trPr>
          <w:trHeight w:val="187" w:hRule="atLeast"/>
          <w:jc w:val="center"/>
        </w:trPr>
        <w:tc>
          <w:tcPr>
            <w:tcW w:w="1240" w:type="dxa"/>
            <w:vMerge w:val="continue"/>
            <w:tcBorders>
              <w:left w:val="single" w:color="auto" w:sz="4" w:space="0"/>
              <w:bottom w:val="single" w:color="000000" w:sz="4" w:space="0"/>
              <w:right w:val="single" w:color="auto" w:sz="4" w:space="0"/>
            </w:tcBorders>
            <w:noWrap/>
            <w:vAlign w:val="center"/>
          </w:tcPr>
          <w:p>
            <w:pPr>
              <w:widowControl/>
              <w:spacing w:line="200" w:lineRule="atLeast"/>
              <w:rPr>
                <w:rFonts w:ascii="宋体" w:hAnsi="宋体" w:cs="宋体"/>
                <w:kern w:val="0"/>
                <w:szCs w:val="21"/>
              </w:rPr>
            </w:pPr>
          </w:p>
        </w:tc>
        <w:tc>
          <w:tcPr>
            <w:tcW w:w="2112"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物流管理</w:t>
            </w:r>
          </w:p>
        </w:tc>
        <w:tc>
          <w:tcPr>
            <w:tcW w:w="638" w:type="dxa"/>
            <w:tcBorders>
              <w:top w:val="single" w:color="auto" w:sz="4" w:space="0"/>
              <w:left w:val="nil"/>
              <w:bottom w:val="single" w:color="auto" w:sz="4" w:space="0"/>
              <w:right w:val="single" w:color="auto" w:sz="4" w:space="0"/>
            </w:tcBorders>
            <w:noWrap/>
            <w:vAlign w:val="center"/>
          </w:tcPr>
          <w:p>
            <w:pPr>
              <w:widowControl/>
              <w:spacing w:line="200" w:lineRule="atLeast"/>
              <w:rPr>
                <w:rFonts w:hint="eastAsia" w:ascii="宋体" w:hAnsi="宋体" w:eastAsia="宋体" w:cs="宋体"/>
                <w:kern w:val="0"/>
                <w:szCs w:val="21"/>
                <w:lang w:val="en-US" w:eastAsia="zh-CN"/>
              </w:rPr>
            </w:pPr>
            <w:r>
              <w:rPr>
                <w:rFonts w:hint="eastAsia" w:ascii="宋体" w:hAnsi="宋体" w:cs="宋体"/>
                <w:kern w:val="0"/>
                <w:szCs w:val="21"/>
                <w:lang w:val="en-US" w:eastAsia="zh-CN"/>
              </w:rPr>
              <w:t>2</w:t>
            </w:r>
          </w:p>
        </w:tc>
        <w:tc>
          <w:tcPr>
            <w:tcW w:w="1125" w:type="dxa"/>
            <w:tcBorders>
              <w:top w:val="single" w:color="auto" w:sz="4" w:space="0"/>
              <w:left w:val="nil"/>
              <w:bottom w:val="single" w:color="auto" w:sz="4" w:space="0"/>
              <w:right w:val="single" w:color="auto" w:sz="4" w:space="0"/>
            </w:tcBorders>
            <w:noWrap/>
            <w:vAlign w:val="center"/>
          </w:tcPr>
          <w:p>
            <w:pPr>
              <w:widowControl/>
              <w:spacing w:line="200" w:lineRule="atLeast"/>
              <w:rPr>
                <w:rFonts w:hint="eastAsia" w:ascii="宋体" w:hAnsi="宋体" w:cs="宋体"/>
                <w:kern w:val="0"/>
                <w:szCs w:val="21"/>
              </w:rPr>
            </w:pPr>
            <w:r>
              <w:rPr>
                <w:rFonts w:hint="eastAsia" w:ascii="宋体" w:hAnsi="宋体" w:cs="宋体"/>
                <w:kern w:val="0"/>
                <w:szCs w:val="21"/>
                <w:lang w:val="en-US" w:eastAsia="zh-CN"/>
              </w:rPr>
              <w:t>20</w:t>
            </w:r>
          </w:p>
        </w:tc>
        <w:tc>
          <w:tcPr>
            <w:tcW w:w="1000" w:type="dxa"/>
            <w:tcBorders>
              <w:top w:val="single" w:color="auto" w:sz="4" w:space="0"/>
              <w:left w:val="nil"/>
              <w:bottom w:val="single" w:color="auto" w:sz="4" w:space="0"/>
              <w:right w:val="single" w:color="auto" w:sz="4" w:space="0"/>
            </w:tcBorders>
            <w:noWrap/>
            <w:vAlign w:val="center"/>
          </w:tcPr>
          <w:p>
            <w:pPr>
              <w:widowControl/>
              <w:spacing w:line="200" w:lineRule="atLeast"/>
              <w:rPr>
                <w:rFonts w:hint="default" w:ascii="宋体" w:hAnsi="宋体" w:cs="宋体"/>
                <w:kern w:val="0"/>
                <w:szCs w:val="21"/>
                <w:lang w:val="en-US" w:eastAsia="zh-CN"/>
              </w:rPr>
            </w:pPr>
            <w:r>
              <w:rPr>
                <w:rFonts w:hint="eastAsia" w:ascii="宋体" w:hAnsi="宋体" w:cs="宋体"/>
                <w:kern w:val="0"/>
                <w:szCs w:val="21"/>
                <w:lang w:val="en-US" w:eastAsia="zh-CN"/>
              </w:rPr>
              <w:t>20</w:t>
            </w:r>
          </w:p>
        </w:tc>
        <w:tc>
          <w:tcPr>
            <w:tcW w:w="1446"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both"/>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100.0%</w:t>
            </w:r>
          </w:p>
        </w:tc>
      </w:tr>
      <w:tr>
        <w:tblPrEx>
          <w:tblCellMar>
            <w:top w:w="0" w:type="dxa"/>
            <w:left w:w="108" w:type="dxa"/>
            <w:bottom w:w="0" w:type="dxa"/>
            <w:right w:w="108" w:type="dxa"/>
          </w:tblCellMar>
        </w:tblPrEx>
        <w:trPr>
          <w:trHeight w:val="300" w:hRule="atLeast"/>
          <w:jc w:val="center"/>
        </w:trPr>
        <w:tc>
          <w:tcPr>
            <w:tcW w:w="1240" w:type="dxa"/>
            <w:vMerge w:val="restart"/>
            <w:tcBorders>
              <w:top w:val="nil"/>
              <w:left w:val="single" w:color="auto" w:sz="4" w:space="0"/>
              <w:right w:val="single" w:color="auto" w:sz="4" w:space="0"/>
            </w:tcBorders>
            <w:noWrap/>
            <w:vAlign w:val="center"/>
          </w:tcPr>
          <w:p>
            <w:pPr>
              <w:widowControl/>
              <w:spacing w:line="200" w:lineRule="atLeast"/>
              <w:rPr>
                <w:rFonts w:ascii="宋体" w:hAnsi="宋体" w:cs="宋体"/>
                <w:kern w:val="0"/>
                <w:szCs w:val="21"/>
              </w:rPr>
            </w:pPr>
            <w:r>
              <w:rPr>
                <w:rFonts w:hint="eastAsia" w:ascii="宋体" w:hAnsi="宋体" w:cs="宋体"/>
                <w:kern w:val="0"/>
                <w:szCs w:val="21"/>
              </w:rPr>
              <w:t>东语系</w:t>
            </w:r>
          </w:p>
        </w:tc>
        <w:tc>
          <w:tcPr>
            <w:tcW w:w="2112"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cs="宋体"/>
                <w:kern w:val="0"/>
                <w:szCs w:val="21"/>
              </w:rPr>
            </w:pPr>
            <w:r>
              <w:rPr>
                <w:rFonts w:hint="eastAsia" w:ascii="宋体" w:hAnsi="宋体" w:eastAsia="宋体" w:cs="宋体"/>
                <w:i w:val="0"/>
                <w:color w:val="000000"/>
                <w:kern w:val="0"/>
                <w:sz w:val="22"/>
                <w:szCs w:val="22"/>
                <w:u w:val="none"/>
                <w:lang w:val="en-US" w:eastAsia="zh-CN" w:bidi="ar"/>
              </w:rPr>
              <w:t>商务日语</w:t>
            </w:r>
          </w:p>
        </w:tc>
        <w:tc>
          <w:tcPr>
            <w:tcW w:w="638" w:type="dxa"/>
            <w:tcBorders>
              <w:top w:val="nil"/>
              <w:left w:val="nil"/>
              <w:bottom w:val="single" w:color="auto" w:sz="4" w:space="0"/>
              <w:right w:val="single" w:color="auto" w:sz="4" w:space="0"/>
            </w:tcBorders>
            <w:noWrap/>
            <w:vAlign w:val="center"/>
          </w:tcPr>
          <w:p>
            <w:pPr>
              <w:widowControl/>
              <w:spacing w:line="200" w:lineRule="atLeast"/>
              <w:rPr>
                <w:rFonts w:ascii="宋体" w:hAnsi="宋体" w:cs="宋体"/>
                <w:kern w:val="0"/>
                <w:szCs w:val="21"/>
              </w:rPr>
            </w:pPr>
            <w:r>
              <w:rPr>
                <w:rFonts w:hint="eastAsia" w:ascii="宋体" w:hAnsi="宋体" w:cs="宋体"/>
                <w:kern w:val="0"/>
                <w:szCs w:val="21"/>
              </w:rPr>
              <w:t>3</w:t>
            </w:r>
          </w:p>
        </w:tc>
        <w:tc>
          <w:tcPr>
            <w:tcW w:w="1125" w:type="dxa"/>
            <w:tcBorders>
              <w:top w:val="nil"/>
              <w:left w:val="nil"/>
              <w:bottom w:val="single" w:color="auto" w:sz="4" w:space="0"/>
              <w:right w:val="single" w:color="auto" w:sz="4" w:space="0"/>
            </w:tcBorders>
            <w:noWrap/>
            <w:vAlign w:val="center"/>
          </w:tcPr>
          <w:p>
            <w:pPr>
              <w:widowControl/>
              <w:spacing w:line="200" w:lineRule="atLeast"/>
              <w:rPr>
                <w:rFonts w:ascii="宋体" w:hAnsi="宋体" w:cs="宋体"/>
                <w:kern w:val="0"/>
                <w:szCs w:val="21"/>
              </w:rPr>
            </w:pPr>
            <w:r>
              <w:rPr>
                <w:rFonts w:hint="eastAsia" w:ascii="宋体" w:hAnsi="宋体" w:cs="宋体"/>
                <w:kern w:val="0"/>
                <w:szCs w:val="21"/>
                <w:lang w:val="en-US" w:eastAsia="zh-CN"/>
              </w:rPr>
              <w:t>35</w:t>
            </w:r>
          </w:p>
        </w:tc>
        <w:tc>
          <w:tcPr>
            <w:tcW w:w="1000" w:type="dxa"/>
            <w:tcBorders>
              <w:top w:val="nil"/>
              <w:left w:val="nil"/>
              <w:bottom w:val="single" w:color="auto" w:sz="4" w:space="0"/>
              <w:right w:val="single" w:color="auto" w:sz="4" w:space="0"/>
            </w:tcBorders>
            <w:noWrap/>
            <w:vAlign w:val="center"/>
          </w:tcPr>
          <w:p>
            <w:pPr>
              <w:widowControl/>
              <w:spacing w:line="200" w:lineRule="atLeast"/>
              <w:rPr>
                <w:rFonts w:hint="default" w:ascii="宋体" w:hAnsi="宋体" w:eastAsia="宋体" w:cs="宋体"/>
                <w:kern w:val="0"/>
                <w:szCs w:val="21"/>
                <w:lang w:val="en-US" w:eastAsia="zh-CN"/>
              </w:rPr>
            </w:pPr>
            <w:r>
              <w:rPr>
                <w:rFonts w:hint="eastAsia" w:ascii="宋体" w:hAnsi="宋体" w:cs="宋体"/>
                <w:kern w:val="0"/>
                <w:szCs w:val="21"/>
                <w:lang w:val="en-US" w:eastAsia="zh-CN"/>
              </w:rPr>
              <w:t>33</w:t>
            </w:r>
          </w:p>
        </w:tc>
        <w:tc>
          <w:tcPr>
            <w:tcW w:w="1446" w:type="dxa"/>
            <w:tcBorders>
              <w:top w:val="nil"/>
              <w:left w:val="nil"/>
              <w:bottom w:val="single" w:color="auto" w:sz="4" w:space="0"/>
              <w:right w:val="single" w:color="auto" w:sz="4" w:space="0"/>
            </w:tcBorders>
            <w:noWrap/>
            <w:vAlign w:val="center"/>
          </w:tcPr>
          <w:p>
            <w:pPr>
              <w:keepNext w:val="0"/>
              <w:keepLines w:val="0"/>
              <w:widowControl/>
              <w:suppressLineNumbers w:val="0"/>
              <w:jc w:val="both"/>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94.3%</w:t>
            </w:r>
          </w:p>
        </w:tc>
      </w:tr>
      <w:tr>
        <w:tblPrEx>
          <w:tblCellMar>
            <w:top w:w="0" w:type="dxa"/>
            <w:left w:w="108" w:type="dxa"/>
            <w:bottom w:w="0" w:type="dxa"/>
            <w:right w:w="108" w:type="dxa"/>
          </w:tblCellMar>
        </w:tblPrEx>
        <w:trPr>
          <w:trHeight w:val="300" w:hRule="atLeast"/>
          <w:jc w:val="center"/>
        </w:trPr>
        <w:tc>
          <w:tcPr>
            <w:tcW w:w="1240" w:type="dxa"/>
            <w:vMerge w:val="continue"/>
            <w:tcBorders>
              <w:left w:val="single" w:color="auto" w:sz="4" w:space="0"/>
              <w:bottom w:val="single" w:color="auto" w:sz="4" w:space="0"/>
              <w:right w:val="single" w:color="auto" w:sz="4" w:space="0"/>
            </w:tcBorders>
            <w:noWrap/>
            <w:vAlign w:val="center"/>
          </w:tcPr>
          <w:p>
            <w:pPr>
              <w:widowControl/>
              <w:spacing w:line="200" w:lineRule="atLeast"/>
              <w:rPr>
                <w:rFonts w:ascii="宋体" w:hAnsi="宋体" w:cs="宋体"/>
                <w:kern w:val="0"/>
                <w:szCs w:val="21"/>
              </w:rPr>
            </w:pPr>
          </w:p>
        </w:tc>
        <w:tc>
          <w:tcPr>
            <w:tcW w:w="2112"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cs="宋体"/>
                <w:kern w:val="0"/>
                <w:szCs w:val="21"/>
              </w:rPr>
            </w:pPr>
            <w:r>
              <w:rPr>
                <w:rFonts w:hint="eastAsia" w:ascii="宋体" w:hAnsi="宋体" w:eastAsia="宋体" w:cs="宋体"/>
                <w:i w:val="0"/>
                <w:color w:val="000000"/>
                <w:kern w:val="0"/>
                <w:sz w:val="22"/>
                <w:szCs w:val="22"/>
                <w:u w:val="none"/>
                <w:lang w:val="en-US" w:eastAsia="zh-CN" w:bidi="ar"/>
              </w:rPr>
              <w:t>应用阿拉伯语</w:t>
            </w:r>
          </w:p>
        </w:tc>
        <w:tc>
          <w:tcPr>
            <w:tcW w:w="638" w:type="dxa"/>
            <w:tcBorders>
              <w:top w:val="nil"/>
              <w:left w:val="nil"/>
              <w:bottom w:val="single" w:color="auto" w:sz="4" w:space="0"/>
              <w:right w:val="single" w:color="auto" w:sz="4" w:space="0"/>
            </w:tcBorders>
            <w:noWrap/>
            <w:vAlign w:val="center"/>
          </w:tcPr>
          <w:p>
            <w:pPr>
              <w:widowControl/>
              <w:spacing w:line="200" w:lineRule="atLeast"/>
              <w:rPr>
                <w:rFonts w:ascii="宋体" w:hAnsi="宋体" w:cs="宋体"/>
                <w:kern w:val="0"/>
                <w:szCs w:val="21"/>
              </w:rPr>
            </w:pPr>
            <w:r>
              <w:rPr>
                <w:rFonts w:hint="eastAsia" w:ascii="宋体" w:hAnsi="宋体" w:cs="宋体"/>
                <w:kern w:val="0"/>
                <w:szCs w:val="21"/>
              </w:rPr>
              <w:t>3</w:t>
            </w:r>
          </w:p>
        </w:tc>
        <w:tc>
          <w:tcPr>
            <w:tcW w:w="1125" w:type="dxa"/>
            <w:tcBorders>
              <w:top w:val="nil"/>
              <w:left w:val="nil"/>
              <w:bottom w:val="single" w:color="auto" w:sz="4" w:space="0"/>
              <w:right w:val="single" w:color="auto" w:sz="4" w:space="0"/>
            </w:tcBorders>
            <w:noWrap/>
            <w:vAlign w:val="center"/>
          </w:tcPr>
          <w:p>
            <w:pPr>
              <w:widowControl/>
              <w:spacing w:line="200" w:lineRule="atLeast"/>
              <w:rPr>
                <w:rFonts w:ascii="宋体" w:hAnsi="宋体" w:cs="宋体"/>
                <w:kern w:val="0"/>
                <w:szCs w:val="21"/>
              </w:rPr>
            </w:pPr>
            <w:r>
              <w:rPr>
                <w:rFonts w:hint="eastAsia" w:ascii="宋体" w:hAnsi="宋体" w:cs="宋体"/>
                <w:kern w:val="0"/>
                <w:szCs w:val="21"/>
              </w:rPr>
              <w:t>3</w:t>
            </w:r>
          </w:p>
        </w:tc>
        <w:tc>
          <w:tcPr>
            <w:tcW w:w="1000" w:type="dxa"/>
            <w:tcBorders>
              <w:top w:val="nil"/>
              <w:left w:val="nil"/>
              <w:bottom w:val="single" w:color="auto" w:sz="4" w:space="0"/>
              <w:right w:val="single" w:color="auto" w:sz="4" w:space="0"/>
            </w:tcBorders>
            <w:noWrap/>
            <w:vAlign w:val="center"/>
          </w:tcPr>
          <w:p>
            <w:pPr>
              <w:widowControl/>
              <w:spacing w:line="200" w:lineRule="atLeast"/>
              <w:rPr>
                <w:rFonts w:hint="eastAsia" w:ascii="宋体" w:hAnsi="宋体" w:eastAsia="宋体" w:cs="宋体"/>
                <w:kern w:val="0"/>
                <w:szCs w:val="21"/>
                <w:lang w:val="en-US" w:eastAsia="zh-CN"/>
              </w:rPr>
            </w:pPr>
            <w:r>
              <w:rPr>
                <w:rFonts w:hint="eastAsia" w:ascii="宋体" w:hAnsi="宋体" w:cs="宋体"/>
                <w:kern w:val="0"/>
                <w:szCs w:val="21"/>
                <w:lang w:val="en-US" w:eastAsia="zh-CN"/>
              </w:rPr>
              <w:t>3</w:t>
            </w:r>
          </w:p>
        </w:tc>
        <w:tc>
          <w:tcPr>
            <w:tcW w:w="1446" w:type="dxa"/>
            <w:tcBorders>
              <w:top w:val="nil"/>
              <w:left w:val="nil"/>
              <w:bottom w:val="single" w:color="auto" w:sz="4" w:space="0"/>
              <w:right w:val="single" w:color="auto" w:sz="4" w:space="0"/>
            </w:tcBorders>
            <w:noWrap/>
            <w:vAlign w:val="center"/>
          </w:tcPr>
          <w:p>
            <w:pPr>
              <w:keepNext w:val="0"/>
              <w:keepLines w:val="0"/>
              <w:widowControl/>
              <w:suppressLineNumbers w:val="0"/>
              <w:jc w:val="both"/>
              <w:textAlignment w:val="center"/>
              <w:rPr>
                <w:rFonts w:hint="eastAsia" w:ascii="宋体" w:hAnsi="宋体" w:cs="宋体"/>
                <w:kern w:val="0"/>
                <w:szCs w:val="21"/>
              </w:rPr>
            </w:pPr>
            <w:r>
              <w:rPr>
                <w:rFonts w:hint="eastAsia" w:ascii="宋体" w:hAnsi="宋体" w:eastAsia="宋体" w:cs="宋体"/>
                <w:i w:val="0"/>
                <w:color w:val="000000"/>
                <w:kern w:val="0"/>
                <w:sz w:val="21"/>
                <w:szCs w:val="21"/>
                <w:u w:val="none"/>
                <w:lang w:val="en-US" w:eastAsia="zh-CN" w:bidi="ar"/>
              </w:rPr>
              <w:t>100.0%</w:t>
            </w:r>
          </w:p>
        </w:tc>
      </w:tr>
      <w:tr>
        <w:tblPrEx>
          <w:tblCellMar>
            <w:top w:w="0" w:type="dxa"/>
            <w:left w:w="108" w:type="dxa"/>
            <w:bottom w:w="0" w:type="dxa"/>
            <w:right w:w="108" w:type="dxa"/>
          </w:tblCellMar>
        </w:tblPrEx>
        <w:trPr>
          <w:trHeight w:val="184" w:hRule="atLeast"/>
          <w:jc w:val="center"/>
        </w:trPr>
        <w:tc>
          <w:tcPr>
            <w:tcW w:w="1240" w:type="dxa"/>
            <w:vMerge w:val="continue"/>
            <w:tcBorders>
              <w:top w:val="single" w:color="auto" w:sz="4" w:space="0"/>
              <w:left w:val="single" w:color="auto" w:sz="4" w:space="0"/>
              <w:right w:val="single" w:color="auto" w:sz="4" w:space="0"/>
            </w:tcBorders>
            <w:shd w:val="clear" w:color="auto" w:fill="auto"/>
            <w:noWrap/>
            <w:vAlign w:val="center"/>
          </w:tcPr>
          <w:p>
            <w:pPr>
              <w:widowControl/>
              <w:spacing w:line="200" w:lineRule="atLeast"/>
              <w:rPr>
                <w:rFonts w:ascii="宋体" w:hAnsi="宋体" w:cs="宋体"/>
                <w:kern w:val="0"/>
                <w:szCs w:val="21"/>
              </w:rPr>
            </w:pPr>
          </w:p>
        </w:tc>
        <w:tc>
          <w:tcPr>
            <w:tcW w:w="2112" w:type="dxa"/>
            <w:tcBorders>
              <w:top w:val="single" w:color="auto" w:sz="4" w:space="0"/>
              <w:left w:val="nil"/>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ascii="宋体" w:hAnsi="宋体" w:cs="宋体"/>
                <w:kern w:val="0"/>
                <w:szCs w:val="21"/>
              </w:rPr>
            </w:pPr>
            <w:r>
              <w:rPr>
                <w:rFonts w:hint="eastAsia" w:ascii="宋体" w:hAnsi="宋体" w:eastAsia="宋体" w:cs="宋体"/>
                <w:i w:val="0"/>
                <w:color w:val="000000"/>
                <w:kern w:val="0"/>
                <w:sz w:val="22"/>
                <w:szCs w:val="22"/>
                <w:u w:val="none"/>
                <w:lang w:val="en-US" w:eastAsia="zh-CN" w:bidi="ar"/>
              </w:rPr>
              <w:t>应用韩语</w:t>
            </w:r>
          </w:p>
        </w:tc>
        <w:tc>
          <w:tcPr>
            <w:tcW w:w="638" w:type="dxa"/>
            <w:tcBorders>
              <w:top w:val="single" w:color="auto" w:sz="4" w:space="0"/>
              <w:left w:val="nil"/>
              <w:bottom w:val="single" w:color="auto" w:sz="4" w:space="0"/>
              <w:right w:val="single" w:color="auto" w:sz="4" w:space="0"/>
            </w:tcBorders>
            <w:noWrap/>
            <w:vAlign w:val="center"/>
          </w:tcPr>
          <w:p>
            <w:pPr>
              <w:widowControl/>
              <w:spacing w:line="200" w:lineRule="atLeast"/>
              <w:rPr>
                <w:rFonts w:ascii="宋体" w:hAnsi="宋体" w:cs="宋体"/>
                <w:kern w:val="0"/>
                <w:szCs w:val="21"/>
              </w:rPr>
            </w:pPr>
            <w:r>
              <w:rPr>
                <w:rFonts w:hint="eastAsia" w:ascii="宋体" w:hAnsi="宋体" w:cs="宋体"/>
                <w:kern w:val="0"/>
                <w:szCs w:val="21"/>
              </w:rPr>
              <w:t>3</w:t>
            </w:r>
          </w:p>
        </w:tc>
        <w:tc>
          <w:tcPr>
            <w:tcW w:w="1125" w:type="dxa"/>
            <w:tcBorders>
              <w:top w:val="single" w:color="auto" w:sz="4" w:space="0"/>
              <w:left w:val="nil"/>
              <w:bottom w:val="single" w:color="auto" w:sz="4" w:space="0"/>
              <w:right w:val="single" w:color="auto" w:sz="4" w:space="0"/>
            </w:tcBorders>
            <w:noWrap/>
            <w:vAlign w:val="center"/>
          </w:tcPr>
          <w:p>
            <w:pPr>
              <w:widowControl/>
              <w:spacing w:line="200" w:lineRule="atLeast"/>
              <w:rPr>
                <w:rFonts w:ascii="宋体" w:hAnsi="宋体" w:cs="宋体"/>
                <w:kern w:val="0"/>
                <w:szCs w:val="21"/>
              </w:rPr>
            </w:pPr>
            <w:r>
              <w:rPr>
                <w:rFonts w:hint="eastAsia" w:ascii="宋体" w:hAnsi="宋体" w:cs="宋体"/>
                <w:kern w:val="0"/>
                <w:szCs w:val="21"/>
                <w:lang w:val="en-US" w:eastAsia="zh-CN"/>
              </w:rPr>
              <w:t>47</w:t>
            </w:r>
          </w:p>
        </w:tc>
        <w:tc>
          <w:tcPr>
            <w:tcW w:w="1000" w:type="dxa"/>
            <w:tcBorders>
              <w:top w:val="single" w:color="auto" w:sz="4" w:space="0"/>
              <w:left w:val="nil"/>
              <w:bottom w:val="single" w:color="auto" w:sz="4" w:space="0"/>
              <w:right w:val="single" w:color="auto" w:sz="4" w:space="0"/>
            </w:tcBorders>
            <w:noWrap/>
            <w:vAlign w:val="center"/>
          </w:tcPr>
          <w:p>
            <w:pPr>
              <w:widowControl/>
              <w:spacing w:line="200" w:lineRule="atLeast"/>
              <w:rPr>
                <w:rFonts w:hint="default" w:ascii="宋体" w:hAnsi="宋体" w:eastAsia="宋体" w:cs="宋体"/>
                <w:kern w:val="0"/>
                <w:szCs w:val="21"/>
                <w:lang w:val="en-US" w:eastAsia="zh-CN"/>
              </w:rPr>
            </w:pPr>
            <w:r>
              <w:rPr>
                <w:rFonts w:hint="eastAsia" w:ascii="宋体" w:hAnsi="宋体" w:cs="宋体"/>
                <w:kern w:val="0"/>
                <w:szCs w:val="21"/>
                <w:lang w:val="en-US" w:eastAsia="zh-CN"/>
              </w:rPr>
              <w:t>46</w:t>
            </w:r>
          </w:p>
        </w:tc>
        <w:tc>
          <w:tcPr>
            <w:tcW w:w="1446"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both"/>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97.9%</w:t>
            </w:r>
          </w:p>
        </w:tc>
      </w:tr>
      <w:tr>
        <w:tblPrEx>
          <w:tblCellMar>
            <w:top w:w="0" w:type="dxa"/>
            <w:left w:w="108" w:type="dxa"/>
            <w:bottom w:w="0" w:type="dxa"/>
            <w:right w:w="108" w:type="dxa"/>
          </w:tblCellMar>
        </w:tblPrEx>
        <w:trPr>
          <w:trHeight w:val="126" w:hRule="atLeast"/>
          <w:jc w:val="center"/>
        </w:trPr>
        <w:tc>
          <w:tcPr>
            <w:tcW w:w="1240" w:type="dxa"/>
            <w:vMerge w:val="continue"/>
            <w:tcBorders>
              <w:top w:val="single" w:color="auto" w:sz="4" w:space="0"/>
              <w:left w:val="single" w:color="auto" w:sz="4" w:space="0"/>
              <w:right w:val="single" w:color="auto" w:sz="4" w:space="0"/>
            </w:tcBorders>
            <w:shd w:val="clear" w:color="auto" w:fill="auto"/>
            <w:noWrap/>
            <w:vAlign w:val="center"/>
          </w:tcPr>
          <w:p>
            <w:pPr>
              <w:widowControl/>
              <w:spacing w:line="200" w:lineRule="atLeast"/>
              <w:rPr>
                <w:rFonts w:ascii="宋体" w:hAnsi="宋体" w:cs="宋体"/>
                <w:kern w:val="0"/>
                <w:szCs w:val="21"/>
              </w:rPr>
            </w:pPr>
          </w:p>
        </w:tc>
        <w:tc>
          <w:tcPr>
            <w:tcW w:w="2112" w:type="dxa"/>
            <w:tcBorders>
              <w:top w:val="single" w:color="auto" w:sz="4" w:space="0"/>
              <w:left w:val="nil"/>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应用韩语</w:t>
            </w:r>
          </w:p>
        </w:tc>
        <w:tc>
          <w:tcPr>
            <w:tcW w:w="638" w:type="dxa"/>
            <w:tcBorders>
              <w:top w:val="single" w:color="auto" w:sz="4" w:space="0"/>
              <w:left w:val="nil"/>
              <w:bottom w:val="single" w:color="auto" w:sz="4" w:space="0"/>
              <w:right w:val="single" w:color="auto" w:sz="4" w:space="0"/>
            </w:tcBorders>
            <w:noWrap/>
            <w:vAlign w:val="center"/>
          </w:tcPr>
          <w:p>
            <w:pPr>
              <w:widowControl/>
              <w:spacing w:line="200" w:lineRule="atLeast"/>
              <w:rPr>
                <w:rFonts w:hint="eastAsia" w:ascii="宋体" w:hAnsi="宋体" w:eastAsia="宋体" w:cs="宋体"/>
                <w:kern w:val="0"/>
                <w:szCs w:val="21"/>
                <w:lang w:val="en-US" w:eastAsia="zh-CN"/>
              </w:rPr>
            </w:pPr>
            <w:r>
              <w:rPr>
                <w:rFonts w:hint="eastAsia" w:ascii="宋体" w:hAnsi="宋体" w:cs="宋体"/>
                <w:kern w:val="0"/>
                <w:szCs w:val="21"/>
                <w:lang w:val="en-US" w:eastAsia="zh-CN"/>
              </w:rPr>
              <w:t>5</w:t>
            </w:r>
          </w:p>
        </w:tc>
        <w:tc>
          <w:tcPr>
            <w:tcW w:w="1125" w:type="dxa"/>
            <w:tcBorders>
              <w:top w:val="single" w:color="auto" w:sz="4" w:space="0"/>
              <w:left w:val="nil"/>
              <w:bottom w:val="single" w:color="auto" w:sz="4" w:space="0"/>
              <w:right w:val="single" w:color="auto" w:sz="4" w:space="0"/>
            </w:tcBorders>
            <w:noWrap/>
            <w:vAlign w:val="center"/>
          </w:tcPr>
          <w:p>
            <w:pPr>
              <w:widowControl/>
              <w:spacing w:line="200" w:lineRule="atLeast"/>
              <w:rPr>
                <w:rFonts w:hint="eastAsia" w:ascii="宋体" w:hAnsi="宋体" w:eastAsia="宋体" w:cs="宋体"/>
                <w:kern w:val="0"/>
                <w:sz w:val="21"/>
                <w:szCs w:val="21"/>
                <w:lang w:val="en-US" w:eastAsia="zh-CN" w:bidi="ar-SA"/>
              </w:rPr>
            </w:pPr>
            <w:r>
              <w:rPr>
                <w:rFonts w:hint="eastAsia" w:ascii="宋体" w:hAnsi="宋体" w:cs="宋体"/>
                <w:kern w:val="0"/>
                <w:szCs w:val="21"/>
                <w:lang w:val="en-US" w:eastAsia="zh-CN"/>
              </w:rPr>
              <w:t>14</w:t>
            </w:r>
          </w:p>
        </w:tc>
        <w:tc>
          <w:tcPr>
            <w:tcW w:w="1000" w:type="dxa"/>
            <w:tcBorders>
              <w:top w:val="single" w:color="auto" w:sz="4" w:space="0"/>
              <w:left w:val="nil"/>
              <w:bottom w:val="single" w:color="auto" w:sz="4" w:space="0"/>
              <w:right w:val="single" w:color="auto" w:sz="4" w:space="0"/>
            </w:tcBorders>
            <w:noWrap/>
            <w:vAlign w:val="center"/>
          </w:tcPr>
          <w:p>
            <w:pPr>
              <w:widowControl/>
              <w:spacing w:line="200" w:lineRule="atLeast"/>
              <w:rPr>
                <w:rFonts w:hint="default" w:ascii="宋体" w:hAnsi="宋体" w:eastAsia="宋体" w:cs="宋体"/>
                <w:kern w:val="0"/>
                <w:szCs w:val="21"/>
                <w:lang w:val="en-US" w:eastAsia="zh-CN"/>
              </w:rPr>
            </w:pPr>
            <w:r>
              <w:rPr>
                <w:rFonts w:hint="eastAsia" w:ascii="宋体" w:hAnsi="宋体" w:cs="宋体"/>
                <w:kern w:val="0"/>
                <w:szCs w:val="21"/>
                <w:lang w:val="en-US" w:eastAsia="zh-CN"/>
              </w:rPr>
              <w:t>14</w:t>
            </w:r>
          </w:p>
        </w:tc>
        <w:tc>
          <w:tcPr>
            <w:tcW w:w="1446"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both"/>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100.0%</w:t>
            </w:r>
          </w:p>
        </w:tc>
      </w:tr>
      <w:tr>
        <w:tblPrEx>
          <w:tblCellMar>
            <w:top w:w="0" w:type="dxa"/>
            <w:left w:w="108" w:type="dxa"/>
            <w:bottom w:w="0" w:type="dxa"/>
            <w:right w:w="108" w:type="dxa"/>
          </w:tblCellMar>
        </w:tblPrEx>
        <w:trPr>
          <w:trHeight w:val="300" w:hRule="atLeast"/>
          <w:jc w:val="center"/>
        </w:trPr>
        <w:tc>
          <w:tcPr>
            <w:tcW w:w="1240" w:type="dxa"/>
            <w:vMerge w:val="continue"/>
            <w:tcBorders>
              <w:left w:val="single" w:color="auto" w:sz="4" w:space="0"/>
              <w:right w:val="single" w:color="auto" w:sz="4" w:space="0"/>
            </w:tcBorders>
            <w:shd w:val="clear" w:color="auto" w:fill="auto"/>
            <w:noWrap/>
            <w:vAlign w:val="center"/>
          </w:tcPr>
          <w:p>
            <w:pPr>
              <w:widowControl/>
              <w:spacing w:line="200" w:lineRule="atLeast"/>
              <w:rPr>
                <w:rFonts w:ascii="宋体" w:hAnsi="宋体" w:cs="宋体"/>
                <w:kern w:val="0"/>
                <w:szCs w:val="21"/>
              </w:rPr>
            </w:pPr>
          </w:p>
        </w:tc>
        <w:tc>
          <w:tcPr>
            <w:tcW w:w="2112" w:type="dxa"/>
            <w:tcBorders>
              <w:top w:val="nil"/>
              <w:left w:val="nil"/>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ascii="宋体" w:hAnsi="宋体" w:cs="宋体"/>
                <w:kern w:val="0"/>
                <w:szCs w:val="21"/>
              </w:rPr>
            </w:pPr>
            <w:r>
              <w:rPr>
                <w:rFonts w:hint="eastAsia" w:ascii="宋体" w:hAnsi="宋体" w:eastAsia="宋体" w:cs="宋体"/>
                <w:i w:val="0"/>
                <w:color w:val="000000"/>
                <w:kern w:val="0"/>
                <w:sz w:val="22"/>
                <w:szCs w:val="22"/>
                <w:u w:val="none"/>
                <w:lang w:val="en-US" w:eastAsia="zh-CN" w:bidi="ar"/>
              </w:rPr>
              <w:t>应用日语</w:t>
            </w:r>
          </w:p>
        </w:tc>
        <w:tc>
          <w:tcPr>
            <w:tcW w:w="638" w:type="dxa"/>
            <w:tcBorders>
              <w:top w:val="nil"/>
              <w:left w:val="nil"/>
              <w:bottom w:val="single" w:color="auto" w:sz="4" w:space="0"/>
              <w:right w:val="single" w:color="auto" w:sz="4" w:space="0"/>
            </w:tcBorders>
            <w:noWrap/>
            <w:vAlign w:val="center"/>
          </w:tcPr>
          <w:p>
            <w:pPr>
              <w:widowControl/>
              <w:spacing w:line="200" w:lineRule="atLeast"/>
              <w:rPr>
                <w:rFonts w:ascii="宋体" w:hAnsi="宋体" w:cs="宋体"/>
                <w:kern w:val="0"/>
                <w:szCs w:val="21"/>
              </w:rPr>
            </w:pPr>
            <w:r>
              <w:rPr>
                <w:rFonts w:hint="eastAsia" w:ascii="宋体" w:hAnsi="宋体" w:cs="宋体"/>
                <w:kern w:val="0"/>
                <w:szCs w:val="21"/>
              </w:rPr>
              <w:t>3</w:t>
            </w:r>
          </w:p>
        </w:tc>
        <w:tc>
          <w:tcPr>
            <w:tcW w:w="1125" w:type="dxa"/>
            <w:tcBorders>
              <w:top w:val="nil"/>
              <w:left w:val="nil"/>
              <w:bottom w:val="single" w:color="auto" w:sz="4" w:space="0"/>
              <w:right w:val="single" w:color="auto" w:sz="4" w:space="0"/>
            </w:tcBorders>
            <w:noWrap/>
            <w:vAlign w:val="center"/>
          </w:tcPr>
          <w:p>
            <w:pPr>
              <w:widowControl/>
              <w:spacing w:line="200" w:lineRule="atLeast"/>
              <w:rPr>
                <w:rFonts w:ascii="宋体" w:hAnsi="宋体" w:cs="宋体"/>
                <w:kern w:val="0"/>
                <w:szCs w:val="21"/>
              </w:rPr>
            </w:pPr>
            <w:r>
              <w:rPr>
                <w:rFonts w:hint="eastAsia" w:ascii="宋体" w:hAnsi="宋体" w:cs="宋体"/>
                <w:kern w:val="0"/>
                <w:szCs w:val="21"/>
                <w:lang w:val="en-US" w:eastAsia="zh-CN"/>
              </w:rPr>
              <w:t>28</w:t>
            </w:r>
          </w:p>
        </w:tc>
        <w:tc>
          <w:tcPr>
            <w:tcW w:w="1000" w:type="dxa"/>
            <w:tcBorders>
              <w:top w:val="nil"/>
              <w:left w:val="nil"/>
              <w:bottom w:val="single" w:color="auto" w:sz="4" w:space="0"/>
              <w:right w:val="single" w:color="auto" w:sz="4" w:space="0"/>
            </w:tcBorders>
            <w:noWrap/>
            <w:vAlign w:val="center"/>
          </w:tcPr>
          <w:p>
            <w:pPr>
              <w:widowControl/>
              <w:spacing w:line="200" w:lineRule="atLeast"/>
              <w:rPr>
                <w:rFonts w:hint="default" w:ascii="宋体" w:hAnsi="宋体" w:eastAsia="宋体" w:cs="宋体"/>
                <w:kern w:val="0"/>
                <w:szCs w:val="21"/>
                <w:lang w:val="en-US" w:eastAsia="zh-CN"/>
              </w:rPr>
            </w:pPr>
            <w:r>
              <w:rPr>
                <w:rFonts w:hint="eastAsia" w:ascii="宋体" w:hAnsi="宋体" w:cs="宋体"/>
                <w:kern w:val="0"/>
                <w:szCs w:val="21"/>
                <w:lang w:val="en-US" w:eastAsia="zh-CN"/>
              </w:rPr>
              <w:t>26</w:t>
            </w:r>
          </w:p>
        </w:tc>
        <w:tc>
          <w:tcPr>
            <w:tcW w:w="1446" w:type="dxa"/>
            <w:tcBorders>
              <w:top w:val="nil"/>
              <w:left w:val="nil"/>
              <w:bottom w:val="single" w:color="auto" w:sz="4" w:space="0"/>
              <w:right w:val="single" w:color="auto" w:sz="4" w:space="0"/>
            </w:tcBorders>
            <w:noWrap/>
            <w:vAlign w:val="center"/>
          </w:tcPr>
          <w:p>
            <w:pPr>
              <w:keepNext w:val="0"/>
              <w:keepLines w:val="0"/>
              <w:widowControl/>
              <w:suppressLineNumbers w:val="0"/>
              <w:jc w:val="both"/>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92.9%</w:t>
            </w:r>
          </w:p>
        </w:tc>
      </w:tr>
      <w:tr>
        <w:tblPrEx>
          <w:tblCellMar>
            <w:top w:w="0" w:type="dxa"/>
            <w:left w:w="108" w:type="dxa"/>
            <w:bottom w:w="0" w:type="dxa"/>
            <w:right w:w="108" w:type="dxa"/>
          </w:tblCellMar>
        </w:tblPrEx>
        <w:trPr>
          <w:trHeight w:val="183" w:hRule="atLeast"/>
          <w:jc w:val="center"/>
        </w:trPr>
        <w:tc>
          <w:tcPr>
            <w:tcW w:w="1240" w:type="dxa"/>
            <w:vMerge w:val="continue"/>
            <w:tcBorders>
              <w:left w:val="single" w:color="auto" w:sz="4" w:space="0"/>
              <w:bottom w:val="single" w:color="000000" w:sz="4" w:space="0"/>
              <w:right w:val="single" w:color="auto" w:sz="4" w:space="0"/>
            </w:tcBorders>
            <w:shd w:val="clear" w:color="auto" w:fill="auto"/>
            <w:noWrap/>
            <w:vAlign w:val="center"/>
          </w:tcPr>
          <w:p>
            <w:pPr>
              <w:widowControl/>
              <w:spacing w:line="200" w:lineRule="atLeast"/>
              <w:rPr>
                <w:rFonts w:ascii="宋体" w:hAnsi="宋体" w:cs="宋体"/>
                <w:kern w:val="0"/>
                <w:szCs w:val="21"/>
              </w:rPr>
            </w:pPr>
          </w:p>
        </w:tc>
        <w:tc>
          <w:tcPr>
            <w:tcW w:w="2112" w:type="dxa"/>
            <w:tcBorders>
              <w:top w:val="nil"/>
              <w:left w:val="nil"/>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ascii="宋体" w:hAnsi="宋体" w:cs="宋体"/>
                <w:kern w:val="0"/>
                <w:szCs w:val="21"/>
              </w:rPr>
            </w:pPr>
            <w:r>
              <w:rPr>
                <w:rFonts w:hint="eastAsia" w:ascii="宋体" w:hAnsi="宋体" w:eastAsia="宋体" w:cs="宋体"/>
                <w:i w:val="0"/>
                <w:color w:val="000000"/>
                <w:kern w:val="0"/>
                <w:sz w:val="22"/>
                <w:szCs w:val="22"/>
                <w:u w:val="none"/>
                <w:lang w:val="en-US" w:eastAsia="zh-CN" w:bidi="ar"/>
              </w:rPr>
              <w:t>应用泰语</w:t>
            </w:r>
          </w:p>
        </w:tc>
        <w:tc>
          <w:tcPr>
            <w:tcW w:w="638" w:type="dxa"/>
            <w:tcBorders>
              <w:top w:val="nil"/>
              <w:left w:val="nil"/>
              <w:bottom w:val="single" w:color="auto" w:sz="4" w:space="0"/>
              <w:right w:val="single" w:color="auto" w:sz="4" w:space="0"/>
            </w:tcBorders>
            <w:noWrap/>
            <w:vAlign w:val="center"/>
          </w:tcPr>
          <w:p>
            <w:pPr>
              <w:widowControl/>
              <w:spacing w:line="200" w:lineRule="atLeast"/>
              <w:rPr>
                <w:rFonts w:ascii="宋体" w:hAnsi="宋体" w:cs="宋体"/>
                <w:kern w:val="0"/>
                <w:szCs w:val="21"/>
              </w:rPr>
            </w:pPr>
            <w:r>
              <w:rPr>
                <w:rFonts w:hint="eastAsia" w:ascii="宋体" w:hAnsi="宋体" w:cs="宋体"/>
                <w:kern w:val="0"/>
                <w:szCs w:val="21"/>
              </w:rPr>
              <w:t>3</w:t>
            </w:r>
          </w:p>
        </w:tc>
        <w:tc>
          <w:tcPr>
            <w:tcW w:w="1125" w:type="dxa"/>
            <w:tcBorders>
              <w:top w:val="nil"/>
              <w:left w:val="nil"/>
              <w:bottom w:val="single" w:color="auto" w:sz="4" w:space="0"/>
              <w:right w:val="single" w:color="auto" w:sz="4" w:space="0"/>
            </w:tcBorders>
            <w:noWrap/>
            <w:vAlign w:val="center"/>
          </w:tcPr>
          <w:p>
            <w:pPr>
              <w:widowControl/>
              <w:spacing w:line="200" w:lineRule="atLeast"/>
              <w:rPr>
                <w:rFonts w:ascii="宋体" w:hAnsi="宋体" w:cs="宋体"/>
                <w:kern w:val="0"/>
                <w:szCs w:val="21"/>
              </w:rPr>
            </w:pPr>
            <w:r>
              <w:rPr>
                <w:rFonts w:hint="eastAsia" w:ascii="宋体" w:hAnsi="宋体" w:cs="宋体"/>
                <w:kern w:val="0"/>
                <w:szCs w:val="21"/>
                <w:lang w:val="en-US" w:eastAsia="zh-CN"/>
              </w:rPr>
              <w:t>17</w:t>
            </w:r>
          </w:p>
        </w:tc>
        <w:tc>
          <w:tcPr>
            <w:tcW w:w="1000" w:type="dxa"/>
            <w:tcBorders>
              <w:top w:val="nil"/>
              <w:left w:val="nil"/>
              <w:bottom w:val="single" w:color="auto" w:sz="4" w:space="0"/>
              <w:right w:val="single" w:color="auto" w:sz="4" w:space="0"/>
            </w:tcBorders>
            <w:noWrap/>
            <w:vAlign w:val="center"/>
          </w:tcPr>
          <w:p>
            <w:pPr>
              <w:widowControl/>
              <w:spacing w:line="200" w:lineRule="atLeast"/>
              <w:rPr>
                <w:rFonts w:hint="default" w:ascii="宋体" w:hAnsi="宋体" w:eastAsia="宋体" w:cs="宋体"/>
                <w:kern w:val="0"/>
                <w:szCs w:val="21"/>
                <w:lang w:val="en-US" w:eastAsia="zh-CN"/>
              </w:rPr>
            </w:pPr>
            <w:r>
              <w:rPr>
                <w:rFonts w:hint="eastAsia" w:ascii="宋体" w:hAnsi="宋体" w:cs="宋体"/>
                <w:kern w:val="0"/>
                <w:szCs w:val="21"/>
                <w:lang w:val="en-US" w:eastAsia="zh-CN"/>
              </w:rPr>
              <w:t>17</w:t>
            </w:r>
          </w:p>
        </w:tc>
        <w:tc>
          <w:tcPr>
            <w:tcW w:w="1446" w:type="dxa"/>
            <w:tcBorders>
              <w:top w:val="nil"/>
              <w:left w:val="nil"/>
              <w:bottom w:val="single" w:color="auto" w:sz="4" w:space="0"/>
              <w:right w:val="single" w:color="auto" w:sz="4" w:space="0"/>
            </w:tcBorders>
            <w:noWrap/>
            <w:vAlign w:val="center"/>
          </w:tcPr>
          <w:p>
            <w:pPr>
              <w:keepNext w:val="0"/>
              <w:keepLines w:val="0"/>
              <w:widowControl/>
              <w:suppressLineNumbers w:val="0"/>
              <w:jc w:val="both"/>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100.0%</w:t>
            </w:r>
          </w:p>
        </w:tc>
      </w:tr>
      <w:tr>
        <w:tblPrEx>
          <w:tblCellMar>
            <w:top w:w="0" w:type="dxa"/>
            <w:left w:w="108" w:type="dxa"/>
            <w:bottom w:w="0" w:type="dxa"/>
            <w:right w:w="108" w:type="dxa"/>
          </w:tblCellMar>
        </w:tblPrEx>
        <w:trPr>
          <w:trHeight w:val="138" w:hRule="atLeast"/>
          <w:jc w:val="center"/>
        </w:trPr>
        <w:tc>
          <w:tcPr>
            <w:tcW w:w="1240" w:type="dxa"/>
            <w:vMerge w:val="continue"/>
            <w:tcBorders>
              <w:left w:val="single" w:color="auto" w:sz="4" w:space="0"/>
              <w:bottom w:val="single" w:color="000000" w:sz="4" w:space="0"/>
              <w:right w:val="single" w:color="auto" w:sz="4" w:space="0"/>
            </w:tcBorders>
            <w:shd w:val="clear" w:color="auto" w:fill="auto"/>
            <w:noWrap/>
            <w:vAlign w:val="center"/>
          </w:tcPr>
          <w:p>
            <w:pPr>
              <w:widowControl/>
              <w:spacing w:line="200" w:lineRule="atLeast"/>
              <w:rPr>
                <w:rFonts w:ascii="宋体" w:hAnsi="宋体" w:cs="宋体"/>
                <w:kern w:val="0"/>
                <w:szCs w:val="21"/>
              </w:rPr>
            </w:pPr>
          </w:p>
        </w:tc>
        <w:tc>
          <w:tcPr>
            <w:tcW w:w="2112" w:type="dxa"/>
            <w:tcBorders>
              <w:top w:val="single" w:color="auto" w:sz="4" w:space="0"/>
              <w:left w:val="nil"/>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应用外语</w:t>
            </w:r>
          </w:p>
        </w:tc>
        <w:tc>
          <w:tcPr>
            <w:tcW w:w="638" w:type="dxa"/>
            <w:tcBorders>
              <w:top w:val="single" w:color="auto" w:sz="4" w:space="0"/>
              <w:left w:val="nil"/>
              <w:bottom w:val="single" w:color="auto" w:sz="4" w:space="0"/>
              <w:right w:val="single" w:color="auto" w:sz="4" w:space="0"/>
            </w:tcBorders>
            <w:noWrap/>
            <w:vAlign w:val="center"/>
          </w:tcPr>
          <w:p>
            <w:pPr>
              <w:widowControl/>
              <w:spacing w:line="200" w:lineRule="atLeast"/>
              <w:rPr>
                <w:rFonts w:hint="eastAsia" w:ascii="宋体" w:hAnsi="宋体" w:eastAsia="宋体" w:cs="宋体"/>
                <w:kern w:val="0"/>
                <w:szCs w:val="21"/>
                <w:lang w:val="en-US" w:eastAsia="zh-CN"/>
              </w:rPr>
            </w:pPr>
            <w:r>
              <w:rPr>
                <w:rFonts w:hint="eastAsia" w:ascii="宋体" w:hAnsi="宋体" w:cs="宋体"/>
                <w:kern w:val="0"/>
                <w:szCs w:val="21"/>
                <w:lang w:val="en-US" w:eastAsia="zh-CN"/>
              </w:rPr>
              <w:t>3</w:t>
            </w:r>
          </w:p>
        </w:tc>
        <w:tc>
          <w:tcPr>
            <w:tcW w:w="1125" w:type="dxa"/>
            <w:tcBorders>
              <w:top w:val="single" w:color="auto" w:sz="4" w:space="0"/>
              <w:left w:val="nil"/>
              <w:bottom w:val="single" w:color="auto" w:sz="4" w:space="0"/>
              <w:right w:val="single" w:color="auto" w:sz="4" w:space="0"/>
            </w:tcBorders>
            <w:noWrap/>
            <w:vAlign w:val="center"/>
          </w:tcPr>
          <w:p>
            <w:pPr>
              <w:widowControl/>
              <w:spacing w:line="200" w:lineRule="atLeast"/>
              <w:rPr>
                <w:rFonts w:hint="eastAsia" w:ascii="宋体" w:hAnsi="宋体" w:cs="宋体"/>
                <w:kern w:val="0"/>
                <w:szCs w:val="21"/>
              </w:rPr>
            </w:pPr>
            <w:r>
              <w:rPr>
                <w:rFonts w:hint="eastAsia" w:ascii="宋体" w:hAnsi="宋体" w:cs="宋体"/>
                <w:kern w:val="0"/>
                <w:szCs w:val="21"/>
                <w:lang w:val="en-US" w:eastAsia="zh-CN"/>
              </w:rPr>
              <w:t>3</w:t>
            </w:r>
          </w:p>
        </w:tc>
        <w:tc>
          <w:tcPr>
            <w:tcW w:w="1000" w:type="dxa"/>
            <w:tcBorders>
              <w:top w:val="single" w:color="auto" w:sz="4" w:space="0"/>
              <w:left w:val="nil"/>
              <w:bottom w:val="single" w:color="auto" w:sz="4" w:space="0"/>
              <w:right w:val="single" w:color="auto" w:sz="4" w:space="0"/>
            </w:tcBorders>
            <w:noWrap/>
            <w:vAlign w:val="center"/>
          </w:tcPr>
          <w:p>
            <w:pPr>
              <w:widowControl/>
              <w:spacing w:line="200" w:lineRule="atLeast"/>
              <w:rPr>
                <w:rFonts w:hint="default" w:ascii="宋体" w:hAnsi="宋体" w:cs="宋体"/>
                <w:kern w:val="0"/>
                <w:szCs w:val="21"/>
                <w:lang w:val="en-US" w:eastAsia="zh-CN"/>
              </w:rPr>
            </w:pPr>
            <w:r>
              <w:rPr>
                <w:rFonts w:hint="eastAsia" w:ascii="宋体" w:hAnsi="宋体" w:cs="宋体"/>
                <w:kern w:val="0"/>
                <w:szCs w:val="21"/>
                <w:lang w:val="en-US" w:eastAsia="zh-CN"/>
              </w:rPr>
              <w:t>3</w:t>
            </w:r>
          </w:p>
        </w:tc>
        <w:tc>
          <w:tcPr>
            <w:tcW w:w="1446"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both"/>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100.0%</w:t>
            </w:r>
          </w:p>
        </w:tc>
      </w:tr>
      <w:tr>
        <w:tblPrEx>
          <w:tblCellMar>
            <w:top w:w="0" w:type="dxa"/>
            <w:left w:w="108" w:type="dxa"/>
            <w:bottom w:w="0" w:type="dxa"/>
            <w:right w:w="108" w:type="dxa"/>
          </w:tblCellMar>
        </w:tblPrEx>
        <w:trPr>
          <w:trHeight w:val="231" w:hRule="atLeast"/>
          <w:jc w:val="center"/>
        </w:trPr>
        <w:tc>
          <w:tcPr>
            <w:tcW w:w="1240" w:type="dxa"/>
            <w:vMerge w:val="continue"/>
            <w:tcBorders>
              <w:left w:val="single" w:color="auto" w:sz="4" w:space="0"/>
              <w:bottom w:val="single" w:color="000000" w:sz="4" w:space="0"/>
              <w:right w:val="single" w:color="auto" w:sz="4" w:space="0"/>
            </w:tcBorders>
            <w:shd w:val="clear" w:color="auto" w:fill="auto"/>
            <w:noWrap/>
            <w:vAlign w:val="center"/>
          </w:tcPr>
          <w:p>
            <w:pPr>
              <w:widowControl/>
              <w:spacing w:line="200" w:lineRule="atLeast"/>
              <w:rPr>
                <w:rFonts w:ascii="宋体" w:hAnsi="宋体" w:cs="宋体"/>
                <w:kern w:val="0"/>
                <w:szCs w:val="21"/>
              </w:rPr>
            </w:pPr>
          </w:p>
        </w:tc>
        <w:tc>
          <w:tcPr>
            <w:tcW w:w="2112" w:type="dxa"/>
            <w:tcBorders>
              <w:top w:val="single" w:color="auto" w:sz="4" w:space="0"/>
              <w:left w:val="nil"/>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应用越南语</w:t>
            </w:r>
          </w:p>
        </w:tc>
        <w:tc>
          <w:tcPr>
            <w:tcW w:w="638" w:type="dxa"/>
            <w:tcBorders>
              <w:top w:val="single" w:color="auto" w:sz="4" w:space="0"/>
              <w:left w:val="nil"/>
              <w:bottom w:val="single" w:color="auto" w:sz="4" w:space="0"/>
              <w:right w:val="single" w:color="auto" w:sz="4" w:space="0"/>
            </w:tcBorders>
            <w:noWrap/>
            <w:vAlign w:val="center"/>
          </w:tcPr>
          <w:p>
            <w:pPr>
              <w:widowControl/>
              <w:spacing w:line="200" w:lineRule="atLeast"/>
              <w:rPr>
                <w:rFonts w:hint="eastAsia" w:ascii="宋体" w:hAnsi="宋体" w:eastAsia="宋体" w:cs="宋体"/>
                <w:kern w:val="0"/>
                <w:szCs w:val="21"/>
                <w:lang w:val="en-US" w:eastAsia="zh-CN"/>
              </w:rPr>
            </w:pPr>
            <w:r>
              <w:rPr>
                <w:rFonts w:hint="eastAsia" w:ascii="宋体" w:hAnsi="宋体" w:cs="宋体"/>
                <w:kern w:val="0"/>
                <w:szCs w:val="21"/>
                <w:lang w:val="en-US" w:eastAsia="zh-CN"/>
              </w:rPr>
              <w:t>3</w:t>
            </w:r>
          </w:p>
        </w:tc>
        <w:tc>
          <w:tcPr>
            <w:tcW w:w="1125" w:type="dxa"/>
            <w:tcBorders>
              <w:top w:val="single" w:color="auto" w:sz="4" w:space="0"/>
              <w:left w:val="nil"/>
              <w:bottom w:val="single" w:color="auto" w:sz="4" w:space="0"/>
              <w:right w:val="single" w:color="auto" w:sz="4" w:space="0"/>
            </w:tcBorders>
            <w:noWrap/>
            <w:vAlign w:val="center"/>
          </w:tcPr>
          <w:p>
            <w:pPr>
              <w:widowControl/>
              <w:spacing w:line="200" w:lineRule="atLeast"/>
              <w:rPr>
                <w:rFonts w:hint="eastAsia" w:ascii="宋体" w:hAnsi="宋体" w:cs="宋体"/>
                <w:kern w:val="0"/>
                <w:szCs w:val="21"/>
              </w:rPr>
            </w:pPr>
            <w:r>
              <w:rPr>
                <w:rFonts w:hint="eastAsia" w:ascii="宋体" w:hAnsi="宋体" w:cs="宋体"/>
                <w:kern w:val="0"/>
                <w:szCs w:val="21"/>
                <w:lang w:val="en-US" w:eastAsia="zh-CN"/>
              </w:rPr>
              <w:t>2</w:t>
            </w:r>
          </w:p>
        </w:tc>
        <w:tc>
          <w:tcPr>
            <w:tcW w:w="1000" w:type="dxa"/>
            <w:tcBorders>
              <w:top w:val="single" w:color="auto" w:sz="4" w:space="0"/>
              <w:left w:val="nil"/>
              <w:bottom w:val="single" w:color="auto" w:sz="4" w:space="0"/>
              <w:right w:val="single" w:color="auto" w:sz="4" w:space="0"/>
            </w:tcBorders>
            <w:noWrap/>
            <w:vAlign w:val="center"/>
          </w:tcPr>
          <w:p>
            <w:pPr>
              <w:widowControl/>
              <w:spacing w:line="200" w:lineRule="atLeast"/>
              <w:rPr>
                <w:rFonts w:hint="default" w:ascii="宋体" w:hAnsi="宋体" w:cs="宋体"/>
                <w:kern w:val="0"/>
                <w:szCs w:val="21"/>
                <w:lang w:val="en-US" w:eastAsia="zh-CN"/>
              </w:rPr>
            </w:pPr>
            <w:r>
              <w:rPr>
                <w:rFonts w:hint="eastAsia" w:ascii="宋体" w:hAnsi="宋体" w:cs="宋体"/>
                <w:kern w:val="0"/>
                <w:szCs w:val="21"/>
                <w:lang w:val="en-US" w:eastAsia="zh-CN"/>
              </w:rPr>
              <w:t>2</w:t>
            </w:r>
          </w:p>
        </w:tc>
        <w:tc>
          <w:tcPr>
            <w:tcW w:w="1446"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both"/>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100.0%</w:t>
            </w:r>
          </w:p>
        </w:tc>
      </w:tr>
      <w:tr>
        <w:tblPrEx>
          <w:tblCellMar>
            <w:top w:w="0" w:type="dxa"/>
            <w:left w:w="108" w:type="dxa"/>
            <w:bottom w:w="0" w:type="dxa"/>
            <w:right w:w="108" w:type="dxa"/>
          </w:tblCellMar>
        </w:tblPrEx>
        <w:trPr>
          <w:trHeight w:val="237" w:hRule="atLeast"/>
          <w:jc w:val="center"/>
        </w:trPr>
        <w:tc>
          <w:tcPr>
            <w:tcW w:w="1240" w:type="dxa"/>
            <w:vMerge w:val="restart"/>
            <w:tcBorders>
              <w:top w:val="nil"/>
              <w:left w:val="single" w:color="auto" w:sz="4" w:space="0"/>
              <w:right w:val="single" w:color="auto" w:sz="4" w:space="0"/>
            </w:tcBorders>
            <w:noWrap/>
            <w:vAlign w:val="center"/>
          </w:tcPr>
          <w:p>
            <w:pPr>
              <w:widowControl/>
              <w:spacing w:line="200" w:lineRule="atLeast"/>
              <w:rPr>
                <w:rFonts w:ascii="宋体" w:hAnsi="宋体" w:cs="宋体"/>
                <w:kern w:val="0"/>
                <w:szCs w:val="21"/>
              </w:rPr>
            </w:pPr>
            <w:r>
              <w:rPr>
                <w:rFonts w:hint="eastAsia" w:ascii="宋体" w:hAnsi="宋体" w:cs="宋体"/>
                <w:kern w:val="0"/>
                <w:szCs w:val="21"/>
              </w:rPr>
              <w:t>西语系</w:t>
            </w:r>
          </w:p>
        </w:tc>
        <w:tc>
          <w:tcPr>
            <w:tcW w:w="2112"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cs="宋体"/>
                <w:kern w:val="0"/>
                <w:szCs w:val="21"/>
              </w:rPr>
            </w:pPr>
            <w:r>
              <w:rPr>
                <w:rFonts w:hint="eastAsia" w:ascii="宋体" w:hAnsi="宋体" w:eastAsia="宋体" w:cs="宋体"/>
                <w:i w:val="0"/>
                <w:color w:val="000000"/>
                <w:kern w:val="0"/>
                <w:sz w:val="22"/>
                <w:szCs w:val="22"/>
                <w:u w:val="none"/>
                <w:lang w:val="en-US" w:eastAsia="zh-CN" w:bidi="ar"/>
              </w:rPr>
              <w:t>应用德语</w:t>
            </w:r>
          </w:p>
        </w:tc>
        <w:tc>
          <w:tcPr>
            <w:tcW w:w="638" w:type="dxa"/>
            <w:tcBorders>
              <w:top w:val="nil"/>
              <w:left w:val="nil"/>
              <w:bottom w:val="single" w:color="auto" w:sz="4" w:space="0"/>
              <w:right w:val="single" w:color="auto" w:sz="4" w:space="0"/>
            </w:tcBorders>
            <w:noWrap/>
            <w:vAlign w:val="center"/>
          </w:tcPr>
          <w:p>
            <w:pPr>
              <w:widowControl/>
              <w:spacing w:line="200" w:lineRule="atLeast"/>
              <w:rPr>
                <w:rFonts w:ascii="宋体" w:hAnsi="宋体" w:cs="宋体"/>
                <w:kern w:val="0"/>
                <w:szCs w:val="21"/>
              </w:rPr>
            </w:pPr>
            <w:r>
              <w:rPr>
                <w:rFonts w:hint="eastAsia" w:ascii="宋体" w:hAnsi="宋体" w:cs="宋体"/>
                <w:kern w:val="0"/>
                <w:szCs w:val="21"/>
              </w:rPr>
              <w:t>3</w:t>
            </w:r>
          </w:p>
        </w:tc>
        <w:tc>
          <w:tcPr>
            <w:tcW w:w="1125" w:type="dxa"/>
            <w:tcBorders>
              <w:top w:val="nil"/>
              <w:left w:val="nil"/>
              <w:bottom w:val="single" w:color="auto" w:sz="4" w:space="0"/>
              <w:right w:val="single" w:color="auto" w:sz="4" w:space="0"/>
            </w:tcBorders>
            <w:noWrap/>
            <w:vAlign w:val="center"/>
          </w:tcPr>
          <w:p>
            <w:pPr>
              <w:widowControl/>
              <w:spacing w:line="200" w:lineRule="atLeast"/>
              <w:rPr>
                <w:rFonts w:ascii="宋体" w:hAnsi="宋体" w:cs="宋体"/>
                <w:kern w:val="0"/>
                <w:szCs w:val="21"/>
              </w:rPr>
            </w:pPr>
            <w:r>
              <w:rPr>
                <w:rFonts w:hint="eastAsia" w:ascii="宋体" w:hAnsi="宋体" w:cs="宋体"/>
                <w:kern w:val="0"/>
                <w:szCs w:val="21"/>
                <w:lang w:val="en-US" w:eastAsia="zh-CN"/>
              </w:rPr>
              <w:t>28</w:t>
            </w:r>
          </w:p>
        </w:tc>
        <w:tc>
          <w:tcPr>
            <w:tcW w:w="1000" w:type="dxa"/>
            <w:tcBorders>
              <w:top w:val="single" w:color="auto" w:sz="4" w:space="0"/>
              <w:left w:val="nil"/>
              <w:bottom w:val="single" w:color="auto" w:sz="4" w:space="0"/>
              <w:right w:val="single" w:color="auto" w:sz="4" w:space="0"/>
            </w:tcBorders>
            <w:noWrap/>
            <w:vAlign w:val="center"/>
          </w:tcPr>
          <w:p>
            <w:pPr>
              <w:widowControl/>
              <w:spacing w:line="200" w:lineRule="atLeast"/>
              <w:rPr>
                <w:rFonts w:hint="default" w:ascii="宋体" w:hAnsi="宋体" w:eastAsia="宋体" w:cs="宋体"/>
                <w:kern w:val="0"/>
                <w:szCs w:val="21"/>
                <w:lang w:val="en-US" w:eastAsia="zh-CN"/>
              </w:rPr>
            </w:pPr>
            <w:r>
              <w:rPr>
                <w:rFonts w:hint="eastAsia" w:ascii="宋体" w:hAnsi="宋体" w:cs="宋体"/>
                <w:kern w:val="0"/>
                <w:szCs w:val="21"/>
                <w:lang w:val="en-US" w:eastAsia="zh-CN"/>
              </w:rPr>
              <w:t>28</w:t>
            </w:r>
          </w:p>
        </w:tc>
        <w:tc>
          <w:tcPr>
            <w:tcW w:w="1446"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both"/>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100.0%</w:t>
            </w:r>
          </w:p>
        </w:tc>
      </w:tr>
      <w:tr>
        <w:tblPrEx>
          <w:tblCellMar>
            <w:top w:w="0" w:type="dxa"/>
            <w:left w:w="108" w:type="dxa"/>
            <w:bottom w:w="0" w:type="dxa"/>
            <w:right w:w="108" w:type="dxa"/>
          </w:tblCellMar>
        </w:tblPrEx>
        <w:trPr>
          <w:trHeight w:val="300" w:hRule="atLeast"/>
          <w:jc w:val="center"/>
        </w:trPr>
        <w:tc>
          <w:tcPr>
            <w:tcW w:w="1240" w:type="dxa"/>
            <w:vMerge w:val="continue"/>
            <w:tcBorders>
              <w:left w:val="single" w:color="auto" w:sz="4" w:space="0"/>
              <w:right w:val="single" w:color="auto" w:sz="4" w:space="0"/>
            </w:tcBorders>
            <w:noWrap/>
            <w:vAlign w:val="center"/>
          </w:tcPr>
          <w:p>
            <w:pPr>
              <w:widowControl/>
              <w:spacing w:line="200" w:lineRule="atLeast"/>
              <w:rPr>
                <w:rFonts w:ascii="宋体" w:hAnsi="宋体" w:cs="宋体"/>
                <w:kern w:val="0"/>
                <w:szCs w:val="21"/>
              </w:rPr>
            </w:pPr>
          </w:p>
        </w:tc>
        <w:tc>
          <w:tcPr>
            <w:tcW w:w="2112"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cs="宋体"/>
                <w:kern w:val="0"/>
                <w:szCs w:val="21"/>
              </w:rPr>
            </w:pPr>
            <w:r>
              <w:rPr>
                <w:rFonts w:hint="eastAsia" w:ascii="宋体" w:hAnsi="宋体" w:eastAsia="宋体" w:cs="宋体"/>
                <w:i w:val="0"/>
                <w:color w:val="000000"/>
                <w:kern w:val="0"/>
                <w:sz w:val="22"/>
                <w:szCs w:val="22"/>
                <w:u w:val="none"/>
                <w:lang w:val="en-US" w:eastAsia="zh-CN" w:bidi="ar"/>
              </w:rPr>
              <w:t>应用俄语</w:t>
            </w:r>
          </w:p>
        </w:tc>
        <w:tc>
          <w:tcPr>
            <w:tcW w:w="638" w:type="dxa"/>
            <w:tcBorders>
              <w:top w:val="single" w:color="auto" w:sz="4" w:space="0"/>
              <w:left w:val="nil"/>
              <w:bottom w:val="single" w:color="auto" w:sz="4" w:space="0"/>
              <w:right w:val="single" w:color="auto" w:sz="4" w:space="0"/>
            </w:tcBorders>
            <w:noWrap/>
            <w:vAlign w:val="center"/>
          </w:tcPr>
          <w:p>
            <w:pPr>
              <w:widowControl/>
              <w:spacing w:line="200" w:lineRule="atLeast"/>
              <w:rPr>
                <w:rFonts w:ascii="宋体" w:hAnsi="宋体" w:cs="宋体"/>
                <w:kern w:val="0"/>
                <w:szCs w:val="21"/>
              </w:rPr>
            </w:pPr>
            <w:r>
              <w:rPr>
                <w:rFonts w:hint="eastAsia" w:ascii="宋体" w:hAnsi="宋体" w:cs="宋体"/>
                <w:kern w:val="0"/>
                <w:szCs w:val="21"/>
              </w:rPr>
              <w:t>3</w:t>
            </w:r>
          </w:p>
        </w:tc>
        <w:tc>
          <w:tcPr>
            <w:tcW w:w="1125" w:type="dxa"/>
            <w:tcBorders>
              <w:top w:val="single" w:color="auto" w:sz="4" w:space="0"/>
              <w:left w:val="nil"/>
              <w:bottom w:val="single" w:color="auto" w:sz="4" w:space="0"/>
              <w:right w:val="single" w:color="auto" w:sz="4" w:space="0"/>
            </w:tcBorders>
            <w:noWrap/>
            <w:vAlign w:val="center"/>
          </w:tcPr>
          <w:p>
            <w:pPr>
              <w:widowControl/>
              <w:spacing w:line="200" w:lineRule="atLeast"/>
              <w:rPr>
                <w:rFonts w:ascii="宋体" w:hAnsi="宋体" w:cs="宋体"/>
                <w:kern w:val="0"/>
                <w:szCs w:val="21"/>
              </w:rPr>
            </w:pPr>
            <w:r>
              <w:rPr>
                <w:rFonts w:hint="eastAsia" w:ascii="宋体" w:hAnsi="宋体" w:cs="宋体"/>
                <w:kern w:val="0"/>
                <w:szCs w:val="21"/>
                <w:lang w:val="en-US" w:eastAsia="zh-CN"/>
              </w:rPr>
              <w:t>46</w:t>
            </w:r>
          </w:p>
        </w:tc>
        <w:tc>
          <w:tcPr>
            <w:tcW w:w="1000" w:type="dxa"/>
            <w:tcBorders>
              <w:top w:val="single" w:color="auto" w:sz="4" w:space="0"/>
              <w:left w:val="nil"/>
              <w:bottom w:val="single" w:color="auto" w:sz="4" w:space="0"/>
              <w:right w:val="single" w:color="auto" w:sz="4" w:space="0"/>
            </w:tcBorders>
            <w:noWrap/>
            <w:vAlign w:val="center"/>
          </w:tcPr>
          <w:p>
            <w:pPr>
              <w:widowControl/>
              <w:spacing w:line="200" w:lineRule="atLeast"/>
              <w:rPr>
                <w:rFonts w:hint="default" w:ascii="宋体" w:hAnsi="宋体" w:eastAsia="宋体" w:cs="宋体"/>
                <w:kern w:val="0"/>
                <w:szCs w:val="21"/>
                <w:lang w:val="en-US" w:eastAsia="zh-CN"/>
              </w:rPr>
            </w:pPr>
            <w:r>
              <w:rPr>
                <w:rFonts w:hint="eastAsia" w:ascii="宋体" w:hAnsi="宋体" w:cs="宋体"/>
                <w:kern w:val="0"/>
                <w:szCs w:val="21"/>
                <w:lang w:val="en-US" w:eastAsia="zh-CN"/>
              </w:rPr>
              <w:t>45</w:t>
            </w:r>
          </w:p>
        </w:tc>
        <w:tc>
          <w:tcPr>
            <w:tcW w:w="1446"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both"/>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97.8%</w:t>
            </w:r>
          </w:p>
        </w:tc>
      </w:tr>
      <w:tr>
        <w:tblPrEx>
          <w:tblCellMar>
            <w:top w:w="0" w:type="dxa"/>
            <w:left w:w="108" w:type="dxa"/>
            <w:bottom w:w="0" w:type="dxa"/>
            <w:right w:w="108" w:type="dxa"/>
          </w:tblCellMar>
        </w:tblPrEx>
        <w:trPr>
          <w:trHeight w:val="300" w:hRule="atLeast"/>
          <w:jc w:val="center"/>
        </w:trPr>
        <w:tc>
          <w:tcPr>
            <w:tcW w:w="1240" w:type="dxa"/>
            <w:vMerge w:val="continue"/>
            <w:tcBorders>
              <w:left w:val="single" w:color="auto" w:sz="4" w:space="0"/>
              <w:right w:val="single" w:color="auto" w:sz="4" w:space="0"/>
            </w:tcBorders>
            <w:noWrap/>
            <w:vAlign w:val="center"/>
          </w:tcPr>
          <w:p>
            <w:pPr>
              <w:widowControl/>
              <w:spacing w:line="200" w:lineRule="atLeast"/>
              <w:rPr>
                <w:rFonts w:ascii="宋体" w:hAnsi="宋体" w:cs="宋体"/>
                <w:kern w:val="0"/>
                <w:szCs w:val="21"/>
              </w:rPr>
            </w:pPr>
          </w:p>
        </w:tc>
        <w:tc>
          <w:tcPr>
            <w:tcW w:w="2112"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cs="宋体"/>
                <w:kern w:val="0"/>
                <w:szCs w:val="21"/>
              </w:rPr>
            </w:pPr>
            <w:r>
              <w:rPr>
                <w:rFonts w:hint="eastAsia" w:ascii="宋体" w:hAnsi="宋体" w:eastAsia="宋体" w:cs="宋体"/>
                <w:i w:val="0"/>
                <w:color w:val="000000"/>
                <w:kern w:val="0"/>
                <w:sz w:val="22"/>
                <w:szCs w:val="22"/>
                <w:u w:val="none"/>
                <w:lang w:val="en-US" w:eastAsia="zh-CN" w:bidi="ar"/>
              </w:rPr>
              <w:t>应用法语</w:t>
            </w:r>
          </w:p>
        </w:tc>
        <w:tc>
          <w:tcPr>
            <w:tcW w:w="638" w:type="dxa"/>
            <w:tcBorders>
              <w:top w:val="nil"/>
              <w:left w:val="nil"/>
              <w:bottom w:val="single" w:color="auto" w:sz="4" w:space="0"/>
              <w:right w:val="single" w:color="auto" w:sz="4" w:space="0"/>
            </w:tcBorders>
            <w:noWrap/>
            <w:vAlign w:val="center"/>
          </w:tcPr>
          <w:p>
            <w:pPr>
              <w:widowControl/>
              <w:spacing w:line="200" w:lineRule="atLeast"/>
              <w:rPr>
                <w:rFonts w:ascii="宋体" w:hAnsi="宋体" w:cs="宋体"/>
                <w:kern w:val="0"/>
                <w:szCs w:val="21"/>
              </w:rPr>
            </w:pPr>
            <w:r>
              <w:rPr>
                <w:rFonts w:hint="eastAsia" w:ascii="宋体" w:hAnsi="宋体" w:cs="宋体"/>
                <w:kern w:val="0"/>
                <w:szCs w:val="21"/>
              </w:rPr>
              <w:t>3</w:t>
            </w:r>
          </w:p>
        </w:tc>
        <w:tc>
          <w:tcPr>
            <w:tcW w:w="1125" w:type="dxa"/>
            <w:tcBorders>
              <w:top w:val="nil"/>
              <w:left w:val="nil"/>
              <w:bottom w:val="single" w:color="auto" w:sz="4" w:space="0"/>
              <w:right w:val="single" w:color="auto" w:sz="4" w:space="0"/>
            </w:tcBorders>
            <w:noWrap/>
            <w:vAlign w:val="center"/>
          </w:tcPr>
          <w:p>
            <w:pPr>
              <w:widowControl/>
              <w:spacing w:line="200" w:lineRule="atLeast"/>
              <w:rPr>
                <w:rFonts w:ascii="宋体" w:hAnsi="宋体" w:cs="宋体"/>
                <w:kern w:val="0"/>
                <w:szCs w:val="21"/>
              </w:rPr>
            </w:pPr>
            <w:r>
              <w:rPr>
                <w:rFonts w:hint="eastAsia" w:ascii="宋体" w:hAnsi="宋体" w:cs="宋体"/>
                <w:kern w:val="0"/>
                <w:szCs w:val="21"/>
                <w:lang w:val="en-US" w:eastAsia="zh-CN"/>
              </w:rPr>
              <w:t>26</w:t>
            </w:r>
          </w:p>
        </w:tc>
        <w:tc>
          <w:tcPr>
            <w:tcW w:w="1000" w:type="dxa"/>
            <w:tcBorders>
              <w:top w:val="nil"/>
              <w:left w:val="nil"/>
              <w:bottom w:val="single" w:color="auto" w:sz="4" w:space="0"/>
              <w:right w:val="single" w:color="auto" w:sz="4" w:space="0"/>
            </w:tcBorders>
            <w:noWrap/>
            <w:vAlign w:val="center"/>
          </w:tcPr>
          <w:p>
            <w:pPr>
              <w:widowControl/>
              <w:spacing w:line="200" w:lineRule="atLeast"/>
              <w:rPr>
                <w:rFonts w:hint="default" w:ascii="宋体" w:hAnsi="宋体" w:eastAsia="宋体" w:cs="宋体"/>
                <w:kern w:val="0"/>
                <w:szCs w:val="21"/>
                <w:lang w:val="en-US" w:eastAsia="zh-CN"/>
              </w:rPr>
            </w:pPr>
            <w:r>
              <w:rPr>
                <w:rFonts w:hint="eastAsia" w:ascii="宋体" w:hAnsi="宋体" w:cs="宋体"/>
                <w:kern w:val="0"/>
                <w:szCs w:val="21"/>
                <w:lang w:val="en-US" w:eastAsia="zh-CN"/>
              </w:rPr>
              <w:t>26</w:t>
            </w:r>
          </w:p>
        </w:tc>
        <w:tc>
          <w:tcPr>
            <w:tcW w:w="1446" w:type="dxa"/>
            <w:tcBorders>
              <w:top w:val="nil"/>
              <w:left w:val="nil"/>
              <w:bottom w:val="single" w:color="auto" w:sz="4" w:space="0"/>
              <w:right w:val="single" w:color="auto" w:sz="4" w:space="0"/>
            </w:tcBorders>
            <w:noWrap/>
            <w:vAlign w:val="center"/>
          </w:tcPr>
          <w:p>
            <w:pPr>
              <w:keepNext w:val="0"/>
              <w:keepLines w:val="0"/>
              <w:widowControl/>
              <w:suppressLineNumbers w:val="0"/>
              <w:jc w:val="both"/>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100.0%</w:t>
            </w:r>
          </w:p>
        </w:tc>
      </w:tr>
      <w:tr>
        <w:tblPrEx>
          <w:tblCellMar>
            <w:top w:w="0" w:type="dxa"/>
            <w:left w:w="108" w:type="dxa"/>
            <w:bottom w:w="0" w:type="dxa"/>
            <w:right w:w="108" w:type="dxa"/>
          </w:tblCellMar>
        </w:tblPrEx>
        <w:trPr>
          <w:trHeight w:val="300" w:hRule="atLeast"/>
          <w:jc w:val="center"/>
        </w:trPr>
        <w:tc>
          <w:tcPr>
            <w:tcW w:w="1240" w:type="dxa"/>
            <w:vMerge w:val="continue"/>
            <w:tcBorders>
              <w:left w:val="single" w:color="auto" w:sz="4" w:space="0"/>
              <w:right w:val="single" w:color="auto" w:sz="4" w:space="0"/>
            </w:tcBorders>
            <w:noWrap/>
            <w:vAlign w:val="center"/>
          </w:tcPr>
          <w:p>
            <w:pPr>
              <w:widowControl/>
              <w:spacing w:line="200" w:lineRule="atLeast"/>
              <w:rPr>
                <w:rFonts w:ascii="宋体" w:hAnsi="宋体" w:cs="宋体"/>
                <w:kern w:val="0"/>
                <w:szCs w:val="21"/>
              </w:rPr>
            </w:pPr>
          </w:p>
        </w:tc>
        <w:tc>
          <w:tcPr>
            <w:tcW w:w="2112" w:type="dxa"/>
            <w:tcBorders>
              <w:top w:val="nil"/>
              <w:left w:val="nil"/>
              <w:bottom w:val="single" w:color="auto" w:sz="4" w:space="0"/>
              <w:right w:val="single" w:color="auto" w:sz="4" w:space="0"/>
            </w:tcBorders>
            <w:noWrap/>
            <w:vAlign w:val="center"/>
          </w:tcPr>
          <w:p>
            <w:pPr>
              <w:widowControl/>
              <w:spacing w:line="200" w:lineRule="atLeast"/>
              <w:rPr>
                <w:rFonts w:ascii="宋体" w:hAnsi="宋体" w:cs="宋体"/>
                <w:kern w:val="0"/>
                <w:szCs w:val="21"/>
              </w:rPr>
            </w:pPr>
            <w:r>
              <w:rPr>
                <w:rFonts w:hint="eastAsia" w:ascii="宋体" w:hAnsi="宋体" w:cs="宋体"/>
                <w:kern w:val="0"/>
                <w:szCs w:val="21"/>
              </w:rPr>
              <w:t>应用葡萄牙语</w:t>
            </w:r>
          </w:p>
        </w:tc>
        <w:tc>
          <w:tcPr>
            <w:tcW w:w="638" w:type="dxa"/>
            <w:tcBorders>
              <w:top w:val="nil"/>
              <w:left w:val="nil"/>
              <w:bottom w:val="single" w:color="auto" w:sz="4" w:space="0"/>
              <w:right w:val="single" w:color="auto" w:sz="4" w:space="0"/>
            </w:tcBorders>
            <w:noWrap/>
            <w:vAlign w:val="center"/>
          </w:tcPr>
          <w:p>
            <w:pPr>
              <w:widowControl/>
              <w:spacing w:line="200" w:lineRule="atLeast"/>
              <w:rPr>
                <w:rFonts w:ascii="宋体" w:hAnsi="宋体" w:cs="宋体"/>
                <w:kern w:val="0"/>
                <w:szCs w:val="21"/>
              </w:rPr>
            </w:pPr>
            <w:r>
              <w:rPr>
                <w:rFonts w:hint="eastAsia" w:ascii="宋体" w:hAnsi="宋体" w:cs="宋体"/>
                <w:kern w:val="0"/>
                <w:szCs w:val="21"/>
              </w:rPr>
              <w:t>3</w:t>
            </w:r>
          </w:p>
        </w:tc>
        <w:tc>
          <w:tcPr>
            <w:tcW w:w="1125" w:type="dxa"/>
            <w:tcBorders>
              <w:top w:val="nil"/>
              <w:left w:val="nil"/>
              <w:bottom w:val="single" w:color="auto" w:sz="4" w:space="0"/>
              <w:right w:val="single" w:color="auto" w:sz="4" w:space="0"/>
            </w:tcBorders>
            <w:noWrap/>
            <w:vAlign w:val="center"/>
          </w:tcPr>
          <w:p>
            <w:pPr>
              <w:widowControl/>
              <w:spacing w:line="200" w:lineRule="atLeast"/>
              <w:rPr>
                <w:rFonts w:ascii="宋体" w:hAnsi="宋体" w:cs="宋体"/>
                <w:kern w:val="0"/>
                <w:szCs w:val="21"/>
              </w:rPr>
            </w:pPr>
            <w:r>
              <w:rPr>
                <w:rFonts w:hint="eastAsia" w:ascii="宋体" w:hAnsi="宋体" w:cs="宋体"/>
                <w:kern w:val="0"/>
                <w:szCs w:val="21"/>
                <w:lang w:val="en-US" w:eastAsia="zh-CN"/>
              </w:rPr>
              <w:t>1</w:t>
            </w:r>
          </w:p>
        </w:tc>
        <w:tc>
          <w:tcPr>
            <w:tcW w:w="1000" w:type="dxa"/>
            <w:tcBorders>
              <w:top w:val="nil"/>
              <w:left w:val="nil"/>
              <w:bottom w:val="single" w:color="auto" w:sz="4" w:space="0"/>
              <w:right w:val="single" w:color="auto" w:sz="4" w:space="0"/>
            </w:tcBorders>
            <w:noWrap/>
            <w:vAlign w:val="center"/>
          </w:tcPr>
          <w:p>
            <w:pPr>
              <w:widowControl/>
              <w:spacing w:line="200" w:lineRule="atLeast"/>
              <w:rPr>
                <w:rFonts w:hint="default" w:ascii="宋体" w:hAnsi="宋体" w:eastAsia="宋体" w:cs="宋体"/>
                <w:kern w:val="0"/>
                <w:szCs w:val="21"/>
                <w:lang w:val="en-US" w:eastAsia="zh-CN"/>
              </w:rPr>
            </w:pPr>
            <w:r>
              <w:rPr>
                <w:rFonts w:hint="eastAsia" w:ascii="宋体" w:hAnsi="宋体" w:cs="宋体"/>
                <w:kern w:val="0"/>
                <w:szCs w:val="21"/>
                <w:lang w:val="en-US" w:eastAsia="zh-CN"/>
              </w:rPr>
              <w:t>1</w:t>
            </w:r>
          </w:p>
        </w:tc>
        <w:tc>
          <w:tcPr>
            <w:tcW w:w="1446" w:type="dxa"/>
            <w:tcBorders>
              <w:top w:val="nil"/>
              <w:left w:val="nil"/>
              <w:bottom w:val="single" w:color="auto" w:sz="4" w:space="0"/>
              <w:right w:val="single" w:color="auto" w:sz="4" w:space="0"/>
            </w:tcBorders>
            <w:noWrap/>
            <w:vAlign w:val="center"/>
          </w:tcPr>
          <w:p>
            <w:pPr>
              <w:keepNext w:val="0"/>
              <w:keepLines w:val="0"/>
              <w:widowControl/>
              <w:suppressLineNumbers w:val="0"/>
              <w:jc w:val="both"/>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100.0%</w:t>
            </w:r>
          </w:p>
        </w:tc>
      </w:tr>
      <w:tr>
        <w:tblPrEx>
          <w:tblCellMar>
            <w:top w:w="0" w:type="dxa"/>
            <w:left w:w="108" w:type="dxa"/>
            <w:bottom w:w="0" w:type="dxa"/>
            <w:right w:w="108" w:type="dxa"/>
          </w:tblCellMar>
        </w:tblPrEx>
        <w:trPr>
          <w:trHeight w:val="172" w:hRule="atLeast"/>
          <w:jc w:val="center"/>
        </w:trPr>
        <w:tc>
          <w:tcPr>
            <w:tcW w:w="1240" w:type="dxa"/>
            <w:vMerge w:val="continue"/>
            <w:tcBorders>
              <w:left w:val="single" w:color="auto" w:sz="4" w:space="0"/>
              <w:bottom w:val="single" w:color="000000" w:sz="4" w:space="0"/>
              <w:right w:val="single" w:color="auto" w:sz="4" w:space="0"/>
            </w:tcBorders>
            <w:noWrap/>
            <w:vAlign w:val="center"/>
          </w:tcPr>
          <w:p>
            <w:pPr>
              <w:widowControl/>
              <w:spacing w:line="200" w:lineRule="atLeast"/>
              <w:rPr>
                <w:rFonts w:ascii="宋体" w:hAnsi="宋体" w:cs="宋体"/>
                <w:kern w:val="0"/>
                <w:szCs w:val="21"/>
              </w:rPr>
            </w:pPr>
          </w:p>
        </w:tc>
        <w:tc>
          <w:tcPr>
            <w:tcW w:w="2112"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cs="宋体"/>
                <w:kern w:val="0"/>
                <w:szCs w:val="21"/>
              </w:rPr>
            </w:pPr>
            <w:r>
              <w:rPr>
                <w:rFonts w:hint="eastAsia" w:ascii="宋体" w:hAnsi="宋体" w:eastAsia="宋体" w:cs="宋体"/>
                <w:i w:val="0"/>
                <w:color w:val="000000"/>
                <w:kern w:val="0"/>
                <w:sz w:val="22"/>
                <w:szCs w:val="22"/>
                <w:u w:val="none"/>
                <w:lang w:val="en-US" w:eastAsia="zh-CN" w:bidi="ar"/>
              </w:rPr>
              <w:t>应用外语</w:t>
            </w:r>
          </w:p>
        </w:tc>
        <w:tc>
          <w:tcPr>
            <w:tcW w:w="638" w:type="dxa"/>
            <w:tcBorders>
              <w:top w:val="nil"/>
              <w:left w:val="nil"/>
              <w:bottom w:val="single" w:color="auto" w:sz="4" w:space="0"/>
              <w:right w:val="single" w:color="auto" w:sz="4" w:space="0"/>
            </w:tcBorders>
            <w:noWrap/>
            <w:vAlign w:val="center"/>
          </w:tcPr>
          <w:p>
            <w:pPr>
              <w:widowControl/>
              <w:spacing w:line="200" w:lineRule="atLeast"/>
              <w:rPr>
                <w:rFonts w:ascii="宋体" w:hAnsi="宋体" w:cs="宋体"/>
                <w:kern w:val="0"/>
                <w:szCs w:val="21"/>
              </w:rPr>
            </w:pPr>
            <w:r>
              <w:rPr>
                <w:rFonts w:hint="eastAsia" w:ascii="宋体" w:hAnsi="宋体" w:cs="宋体"/>
                <w:kern w:val="0"/>
                <w:szCs w:val="21"/>
              </w:rPr>
              <w:t>3</w:t>
            </w:r>
          </w:p>
        </w:tc>
        <w:tc>
          <w:tcPr>
            <w:tcW w:w="1125" w:type="dxa"/>
            <w:tcBorders>
              <w:top w:val="nil"/>
              <w:left w:val="nil"/>
              <w:bottom w:val="single" w:color="auto" w:sz="4" w:space="0"/>
              <w:right w:val="single" w:color="auto" w:sz="4" w:space="0"/>
            </w:tcBorders>
            <w:noWrap/>
            <w:vAlign w:val="center"/>
          </w:tcPr>
          <w:p>
            <w:pPr>
              <w:widowControl/>
              <w:spacing w:line="200" w:lineRule="atLeast"/>
              <w:rPr>
                <w:rFonts w:ascii="宋体" w:hAnsi="宋体" w:cs="宋体"/>
                <w:kern w:val="0"/>
                <w:szCs w:val="21"/>
              </w:rPr>
            </w:pPr>
            <w:r>
              <w:rPr>
                <w:rFonts w:hint="eastAsia" w:ascii="宋体" w:hAnsi="宋体" w:cs="宋体"/>
                <w:kern w:val="0"/>
                <w:szCs w:val="21"/>
                <w:lang w:val="en-US" w:eastAsia="zh-CN"/>
              </w:rPr>
              <w:t>10</w:t>
            </w:r>
          </w:p>
        </w:tc>
        <w:tc>
          <w:tcPr>
            <w:tcW w:w="1000" w:type="dxa"/>
            <w:tcBorders>
              <w:top w:val="nil"/>
              <w:left w:val="nil"/>
              <w:bottom w:val="single" w:color="auto" w:sz="4" w:space="0"/>
              <w:right w:val="single" w:color="auto" w:sz="4" w:space="0"/>
            </w:tcBorders>
            <w:noWrap/>
            <w:vAlign w:val="center"/>
          </w:tcPr>
          <w:p>
            <w:pPr>
              <w:widowControl/>
              <w:spacing w:line="200" w:lineRule="atLeast"/>
              <w:rPr>
                <w:rFonts w:hint="default" w:ascii="宋体" w:hAnsi="宋体" w:eastAsia="宋体" w:cs="宋体"/>
                <w:kern w:val="0"/>
                <w:szCs w:val="21"/>
                <w:lang w:val="en-US" w:eastAsia="zh-CN"/>
              </w:rPr>
            </w:pPr>
            <w:r>
              <w:rPr>
                <w:rFonts w:hint="eastAsia" w:ascii="宋体" w:hAnsi="宋体" w:cs="宋体"/>
                <w:kern w:val="0"/>
                <w:szCs w:val="21"/>
                <w:lang w:val="en-US" w:eastAsia="zh-CN"/>
              </w:rPr>
              <w:t>8</w:t>
            </w:r>
          </w:p>
        </w:tc>
        <w:tc>
          <w:tcPr>
            <w:tcW w:w="1446" w:type="dxa"/>
            <w:tcBorders>
              <w:top w:val="nil"/>
              <w:left w:val="nil"/>
              <w:bottom w:val="single" w:color="auto" w:sz="4" w:space="0"/>
              <w:right w:val="single" w:color="auto" w:sz="4" w:space="0"/>
            </w:tcBorders>
            <w:noWrap/>
            <w:vAlign w:val="center"/>
          </w:tcPr>
          <w:p>
            <w:pPr>
              <w:keepNext w:val="0"/>
              <w:keepLines w:val="0"/>
              <w:widowControl/>
              <w:suppressLineNumbers w:val="0"/>
              <w:jc w:val="both"/>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80.0%</w:t>
            </w:r>
          </w:p>
        </w:tc>
      </w:tr>
      <w:tr>
        <w:tblPrEx>
          <w:tblCellMar>
            <w:top w:w="0" w:type="dxa"/>
            <w:left w:w="108" w:type="dxa"/>
            <w:bottom w:w="0" w:type="dxa"/>
            <w:right w:w="108" w:type="dxa"/>
          </w:tblCellMar>
        </w:tblPrEx>
        <w:trPr>
          <w:trHeight w:val="123" w:hRule="atLeast"/>
          <w:jc w:val="center"/>
        </w:trPr>
        <w:tc>
          <w:tcPr>
            <w:tcW w:w="1240" w:type="dxa"/>
            <w:vMerge w:val="continue"/>
            <w:tcBorders>
              <w:left w:val="single" w:color="auto" w:sz="4" w:space="0"/>
              <w:bottom w:val="single" w:color="000000" w:sz="4" w:space="0"/>
              <w:right w:val="single" w:color="auto" w:sz="4" w:space="0"/>
            </w:tcBorders>
            <w:noWrap/>
            <w:vAlign w:val="center"/>
          </w:tcPr>
          <w:p>
            <w:pPr>
              <w:widowControl/>
              <w:spacing w:line="200" w:lineRule="atLeast"/>
              <w:rPr>
                <w:rFonts w:ascii="宋体" w:hAnsi="宋体" w:cs="宋体"/>
                <w:kern w:val="0"/>
                <w:szCs w:val="21"/>
              </w:rPr>
            </w:pPr>
          </w:p>
        </w:tc>
        <w:tc>
          <w:tcPr>
            <w:tcW w:w="2112"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应用西班牙语</w:t>
            </w:r>
          </w:p>
        </w:tc>
        <w:tc>
          <w:tcPr>
            <w:tcW w:w="638" w:type="dxa"/>
            <w:tcBorders>
              <w:top w:val="single" w:color="auto" w:sz="4" w:space="0"/>
              <w:left w:val="nil"/>
              <w:bottom w:val="single" w:color="auto" w:sz="4" w:space="0"/>
              <w:right w:val="single" w:color="auto" w:sz="4" w:space="0"/>
            </w:tcBorders>
            <w:noWrap/>
            <w:vAlign w:val="center"/>
          </w:tcPr>
          <w:p>
            <w:pPr>
              <w:widowControl/>
              <w:spacing w:line="200" w:lineRule="atLeast"/>
              <w:rPr>
                <w:rFonts w:hint="eastAsia" w:ascii="宋体" w:hAnsi="宋体" w:eastAsia="宋体" w:cs="宋体"/>
                <w:kern w:val="0"/>
                <w:szCs w:val="21"/>
                <w:lang w:val="en-US" w:eastAsia="zh-CN"/>
              </w:rPr>
            </w:pPr>
            <w:r>
              <w:rPr>
                <w:rFonts w:hint="eastAsia" w:ascii="宋体" w:hAnsi="宋体" w:cs="宋体"/>
                <w:kern w:val="0"/>
                <w:szCs w:val="21"/>
                <w:lang w:val="en-US" w:eastAsia="zh-CN"/>
              </w:rPr>
              <w:t>3</w:t>
            </w:r>
          </w:p>
        </w:tc>
        <w:tc>
          <w:tcPr>
            <w:tcW w:w="1125" w:type="dxa"/>
            <w:tcBorders>
              <w:top w:val="single" w:color="auto" w:sz="4" w:space="0"/>
              <w:left w:val="nil"/>
              <w:bottom w:val="single" w:color="auto" w:sz="4" w:space="0"/>
              <w:right w:val="single" w:color="auto" w:sz="4" w:space="0"/>
            </w:tcBorders>
            <w:noWrap/>
            <w:vAlign w:val="center"/>
          </w:tcPr>
          <w:p>
            <w:pPr>
              <w:widowControl/>
              <w:spacing w:line="200" w:lineRule="atLeast"/>
              <w:rPr>
                <w:rFonts w:hint="eastAsia" w:ascii="宋体" w:hAnsi="宋体" w:cs="宋体"/>
                <w:kern w:val="0"/>
                <w:szCs w:val="21"/>
              </w:rPr>
            </w:pPr>
            <w:r>
              <w:rPr>
                <w:rFonts w:hint="eastAsia" w:ascii="宋体" w:hAnsi="宋体" w:cs="宋体"/>
                <w:kern w:val="0"/>
                <w:szCs w:val="21"/>
                <w:lang w:val="en-US" w:eastAsia="zh-CN"/>
              </w:rPr>
              <w:t>34</w:t>
            </w:r>
          </w:p>
        </w:tc>
        <w:tc>
          <w:tcPr>
            <w:tcW w:w="1000" w:type="dxa"/>
            <w:tcBorders>
              <w:top w:val="single" w:color="auto" w:sz="4" w:space="0"/>
              <w:left w:val="nil"/>
              <w:bottom w:val="single" w:color="auto" w:sz="4" w:space="0"/>
              <w:right w:val="single" w:color="auto" w:sz="4" w:space="0"/>
            </w:tcBorders>
            <w:noWrap/>
            <w:vAlign w:val="center"/>
          </w:tcPr>
          <w:p>
            <w:pPr>
              <w:widowControl/>
              <w:spacing w:line="200" w:lineRule="atLeast"/>
              <w:rPr>
                <w:rFonts w:hint="default" w:ascii="宋体" w:hAnsi="宋体" w:cs="宋体"/>
                <w:kern w:val="0"/>
                <w:szCs w:val="21"/>
                <w:lang w:val="en-US" w:eastAsia="zh-CN"/>
              </w:rPr>
            </w:pPr>
            <w:r>
              <w:rPr>
                <w:rFonts w:hint="eastAsia" w:ascii="宋体" w:hAnsi="宋体" w:cs="宋体"/>
                <w:kern w:val="0"/>
                <w:szCs w:val="21"/>
                <w:lang w:val="en-US" w:eastAsia="zh-CN"/>
              </w:rPr>
              <w:t>34</w:t>
            </w:r>
          </w:p>
        </w:tc>
        <w:tc>
          <w:tcPr>
            <w:tcW w:w="1446"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both"/>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100.0%</w:t>
            </w:r>
          </w:p>
        </w:tc>
      </w:tr>
      <w:tr>
        <w:tblPrEx>
          <w:tblCellMar>
            <w:top w:w="0" w:type="dxa"/>
            <w:left w:w="108" w:type="dxa"/>
            <w:bottom w:w="0" w:type="dxa"/>
            <w:right w:w="108" w:type="dxa"/>
          </w:tblCellMar>
        </w:tblPrEx>
        <w:trPr>
          <w:trHeight w:val="175" w:hRule="atLeast"/>
          <w:jc w:val="center"/>
        </w:trPr>
        <w:tc>
          <w:tcPr>
            <w:tcW w:w="1240" w:type="dxa"/>
            <w:vMerge w:val="restart"/>
            <w:tcBorders>
              <w:top w:val="nil"/>
              <w:left w:val="single" w:color="auto" w:sz="4" w:space="0"/>
              <w:right w:val="single" w:color="auto" w:sz="4" w:space="0"/>
            </w:tcBorders>
            <w:noWrap/>
            <w:vAlign w:val="center"/>
          </w:tcPr>
          <w:p>
            <w:pPr>
              <w:widowControl/>
              <w:spacing w:line="200" w:lineRule="atLeast"/>
              <w:rPr>
                <w:rFonts w:ascii="宋体" w:hAnsi="宋体" w:cs="宋体"/>
                <w:color w:val="auto"/>
                <w:kern w:val="0"/>
                <w:szCs w:val="21"/>
              </w:rPr>
            </w:pPr>
          </w:p>
          <w:p>
            <w:pPr>
              <w:widowControl/>
              <w:spacing w:line="200" w:lineRule="atLeast"/>
              <w:rPr>
                <w:rFonts w:ascii="宋体" w:hAnsi="宋体" w:cs="宋体"/>
                <w:color w:val="auto"/>
                <w:kern w:val="0"/>
                <w:szCs w:val="21"/>
              </w:rPr>
            </w:pPr>
          </w:p>
          <w:p>
            <w:pPr>
              <w:widowControl/>
              <w:spacing w:line="200" w:lineRule="atLeast"/>
              <w:rPr>
                <w:rFonts w:ascii="宋体" w:hAnsi="宋体" w:cs="宋体"/>
                <w:color w:val="auto"/>
                <w:kern w:val="0"/>
                <w:szCs w:val="21"/>
              </w:rPr>
            </w:pPr>
            <w:r>
              <w:rPr>
                <w:rFonts w:hint="eastAsia" w:ascii="宋体" w:hAnsi="宋体" w:cs="宋体"/>
                <w:color w:val="auto"/>
                <w:kern w:val="0"/>
                <w:szCs w:val="21"/>
              </w:rPr>
              <w:t>旅游系</w:t>
            </w:r>
          </w:p>
          <w:p>
            <w:pPr>
              <w:widowControl/>
              <w:spacing w:line="200" w:lineRule="atLeast"/>
              <w:rPr>
                <w:rFonts w:ascii="宋体" w:hAnsi="宋体" w:cs="宋体"/>
                <w:color w:val="auto"/>
                <w:kern w:val="0"/>
                <w:szCs w:val="21"/>
              </w:rPr>
            </w:pPr>
          </w:p>
          <w:p>
            <w:pPr>
              <w:widowControl/>
              <w:spacing w:line="200" w:lineRule="atLeast"/>
              <w:rPr>
                <w:rFonts w:ascii="宋体" w:hAnsi="宋体" w:cs="宋体"/>
                <w:color w:val="auto"/>
                <w:kern w:val="0"/>
                <w:szCs w:val="21"/>
              </w:rPr>
            </w:pPr>
          </w:p>
        </w:tc>
        <w:tc>
          <w:tcPr>
            <w:tcW w:w="2112"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cs="宋体"/>
                <w:color w:val="auto"/>
                <w:kern w:val="0"/>
                <w:szCs w:val="21"/>
              </w:rPr>
            </w:pPr>
            <w:r>
              <w:rPr>
                <w:rFonts w:hint="eastAsia" w:ascii="宋体" w:hAnsi="宋体" w:eastAsia="宋体" w:cs="宋体"/>
                <w:i w:val="0"/>
                <w:color w:val="auto"/>
                <w:kern w:val="0"/>
                <w:sz w:val="22"/>
                <w:szCs w:val="22"/>
                <w:u w:val="none"/>
                <w:lang w:val="en-US" w:eastAsia="zh-CN" w:bidi="ar"/>
              </w:rPr>
              <w:t>会展策划与管理</w:t>
            </w:r>
          </w:p>
        </w:tc>
        <w:tc>
          <w:tcPr>
            <w:tcW w:w="638" w:type="dxa"/>
            <w:tcBorders>
              <w:top w:val="nil"/>
              <w:left w:val="nil"/>
              <w:bottom w:val="single" w:color="auto" w:sz="4" w:space="0"/>
              <w:right w:val="single" w:color="auto" w:sz="4" w:space="0"/>
            </w:tcBorders>
            <w:noWrap/>
            <w:vAlign w:val="center"/>
          </w:tcPr>
          <w:p>
            <w:pPr>
              <w:widowControl/>
              <w:spacing w:line="200" w:lineRule="atLeast"/>
              <w:rPr>
                <w:rFonts w:ascii="宋体" w:hAnsi="宋体" w:cs="宋体"/>
                <w:color w:val="auto"/>
                <w:kern w:val="0"/>
                <w:szCs w:val="21"/>
              </w:rPr>
            </w:pPr>
            <w:r>
              <w:rPr>
                <w:rFonts w:hint="eastAsia" w:ascii="宋体" w:hAnsi="宋体" w:cs="宋体"/>
                <w:color w:val="auto"/>
                <w:kern w:val="0"/>
                <w:szCs w:val="21"/>
              </w:rPr>
              <w:t>3</w:t>
            </w:r>
          </w:p>
        </w:tc>
        <w:tc>
          <w:tcPr>
            <w:tcW w:w="1125" w:type="dxa"/>
            <w:tcBorders>
              <w:top w:val="nil"/>
              <w:left w:val="nil"/>
              <w:bottom w:val="single" w:color="auto" w:sz="4" w:space="0"/>
              <w:right w:val="single" w:color="auto" w:sz="4" w:space="0"/>
            </w:tcBorders>
            <w:noWrap/>
            <w:vAlign w:val="center"/>
          </w:tcPr>
          <w:p>
            <w:pPr>
              <w:widowControl/>
              <w:spacing w:line="200" w:lineRule="atLeast"/>
              <w:rPr>
                <w:rFonts w:ascii="宋体" w:hAnsi="宋体" w:cs="宋体"/>
                <w:color w:val="auto"/>
                <w:kern w:val="0"/>
                <w:szCs w:val="21"/>
              </w:rPr>
            </w:pPr>
            <w:r>
              <w:rPr>
                <w:rFonts w:hint="eastAsia" w:ascii="宋体" w:hAnsi="宋体" w:cs="宋体"/>
                <w:color w:val="auto"/>
                <w:kern w:val="0"/>
                <w:szCs w:val="21"/>
              </w:rPr>
              <w:t>2</w:t>
            </w:r>
            <w:r>
              <w:rPr>
                <w:rFonts w:hint="eastAsia" w:ascii="宋体" w:hAnsi="宋体" w:cs="宋体"/>
                <w:color w:val="auto"/>
                <w:kern w:val="0"/>
                <w:szCs w:val="21"/>
                <w:lang w:val="en-US" w:eastAsia="zh-CN"/>
              </w:rPr>
              <w:t>6</w:t>
            </w:r>
          </w:p>
        </w:tc>
        <w:tc>
          <w:tcPr>
            <w:tcW w:w="1000" w:type="dxa"/>
            <w:tcBorders>
              <w:top w:val="nil"/>
              <w:left w:val="nil"/>
              <w:bottom w:val="single" w:color="auto" w:sz="4" w:space="0"/>
              <w:right w:val="single" w:color="auto" w:sz="4" w:space="0"/>
            </w:tcBorders>
            <w:noWrap/>
            <w:vAlign w:val="center"/>
          </w:tcPr>
          <w:p>
            <w:pPr>
              <w:widowControl/>
              <w:spacing w:line="200" w:lineRule="atLeast"/>
              <w:rPr>
                <w:rFonts w:hint="default" w:ascii="宋体" w:hAnsi="宋体" w:eastAsia="宋体" w:cs="宋体"/>
                <w:color w:val="auto"/>
                <w:kern w:val="0"/>
                <w:szCs w:val="21"/>
                <w:lang w:val="en-US" w:eastAsia="zh-CN"/>
              </w:rPr>
            </w:pPr>
            <w:r>
              <w:rPr>
                <w:rFonts w:hint="eastAsia" w:ascii="宋体" w:hAnsi="宋体" w:cs="宋体"/>
                <w:color w:val="auto"/>
                <w:kern w:val="0"/>
                <w:szCs w:val="21"/>
                <w:lang w:val="en-US" w:eastAsia="zh-CN"/>
              </w:rPr>
              <w:t>26</w:t>
            </w:r>
          </w:p>
        </w:tc>
        <w:tc>
          <w:tcPr>
            <w:tcW w:w="1446" w:type="dxa"/>
            <w:tcBorders>
              <w:top w:val="nil"/>
              <w:left w:val="nil"/>
              <w:bottom w:val="single" w:color="auto" w:sz="4" w:space="0"/>
              <w:right w:val="single" w:color="auto" w:sz="4" w:space="0"/>
            </w:tcBorders>
            <w:noWrap/>
            <w:vAlign w:val="center"/>
          </w:tcPr>
          <w:p>
            <w:pPr>
              <w:keepNext w:val="0"/>
              <w:keepLines w:val="0"/>
              <w:widowControl/>
              <w:suppressLineNumbers w:val="0"/>
              <w:jc w:val="both"/>
              <w:textAlignment w:val="center"/>
              <w:rPr>
                <w:rFonts w:hint="eastAsia" w:ascii="宋体" w:hAnsi="宋体" w:cs="宋体"/>
                <w:color w:val="auto"/>
                <w:kern w:val="0"/>
                <w:szCs w:val="21"/>
              </w:rPr>
            </w:pPr>
            <w:r>
              <w:rPr>
                <w:rFonts w:hint="eastAsia" w:ascii="宋体" w:hAnsi="宋体" w:eastAsia="宋体" w:cs="宋体"/>
                <w:i w:val="0"/>
                <w:color w:val="000000"/>
                <w:kern w:val="0"/>
                <w:sz w:val="21"/>
                <w:szCs w:val="21"/>
                <w:u w:val="none"/>
                <w:lang w:val="en-US" w:eastAsia="zh-CN" w:bidi="ar"/>
              </w:rPr>
              <w:t>100.0%</w:t>
            </w:r>
          </w:p>
        </w:tc>
      </w:tr>
      <w:tr>
        <w:tblPrEx>
          <w:tblCellMar>
            <w:top w:w="0" w:type="dxa"/>
            <w:left w:w="108" w:type="dxa"/>
            <w:bottom w:w="0" w:type="dxa"/>
            <w:right w:w="108" w:type="dxa"/>
          </w:tblCellMar>
        </w:tblPrEx>
        <w:trPr>
          <w:trHeight w:val="280" w:hRule="atLeast"/>
          <w:jc w:val="center"/>
        </w:trPr>
        <w:tc>
          <w:tcPr>
            <w:tcW w:w="1240" w:type="dxa"/>
            <w:vMerge w:val="continue"/>
            <w:tcBorders>
              <w:left w:val="single" w:color="auto" w:sz="4" w:space="0"/>
              <w:right w:val="single" w:color="auto" w:sz="4" w:space="0"/>
            </w:tcBorders>
            <w:noWrap/>
            <w:vAlign w:val="center"/>
          </w:tcPr>
          <w:p>
            <w:pPr>
              <w:widowControl/>
              <w:spacing w:line="200" w:lineRule="atLeast"/>
              <w:rPr>
                <w:rFonts w:ascii="宋体" w:hAnsi="宋体" w:cs="宋体"/>
                <w:color w:val="auto"/>
                <w:kern w:val="0"/>
                <w:szCs w:val="21"/>
              </w:rPr>
            </w:pPr>
          </w:p>
        </w:tc>
        <w:tc>
          <w:tcPr>
            <w:tcW w:w="2112"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cs="宋体"/>
                <w:color w:val="auto"/>
                <w:kern w:val="0"/>
                <w:szCs w:val="21"/>
              </w:rPr>
            </w:pPr>
            <w:r>
              <w:rPr>
                <w:rFonts w:hint="eastAsia" w:ascii="宋体" w:hAnsi="宋体" w:eastAsia="宋体" w:cs="宋体"/>
                <w:i w:val="0"/>
                <w:color w:val="auto"/>
                <w:kern w:val="0"/>
                <w:sz w:val="22"/>
                <w:szCs w:val="22"/>
                <w:u w:val="none"/>
                <w:lang w:val="en-US" w:eastAsia="zh-CN" w:bidi="ar"/>
              </w:rPr>
              <w:t>酒店管理</w:t>
            </w:r>
          </w:p>
        </w:tc>
        <w:tc>
          <w:tcPr>
            <w:tcW w:w="638" w:type="dxa"/>
            <w:tcBorders>
              <w:top w:val="nil"/>
              <w:left w:val="nil"/>
              <w:bottom w:val="single" w:color="auto" w:sz="4" w:space="0"/>
              <w:right w:val="single" w:color="auto" w:sz="4" w:space="0"/>
            </w:tcBorders>
            <w:noWrap/>
            <w:vAlign w:val="center"/>
          </w:tcPr>
          <w:p>
            <w:pPr>
              <w:widowControl/>
              <w:spacing w:line="200" w:lineRule="atLeast"/>
              <w:rPr>
                <w:rFonts w:hint="eastAsia" w:ascii="宋体" w:hAnsi="宋体" w:eastAsia="宋体" w:cs="宋体"/>
                <w:color w:val="auto"/>
                <w:kern w:val="0"/>
                <w:szCs w:val="21"/>
                <w:lang w:eastAsia="zh-CN"/>
              </w:rPr>
            </w:pPr>
            <w:r>
              <w:rPr>
                <w:rFonts w:hint="eastAsia" w:ascii="宋体" w:hAnsi="宋体" w:cs="宋体"/>
                <w:color w:val="auto"/>
                <w:kern w:val="0"/>
                <w:szCs w:val="21"/>
                <w:lang w:val="en-US" w:eastAsia="zh-CN"/>
              </w:rPr>
              <w:t>2</w:t>
            </w:r>
          </w:p>
        </w:tc>
        <w:tc>
          <w:tcPr>
            <w:tcW w:w="1125" w:type="dxa"/>
            <w:tcBorders>
              <w:top w:val="nil"/>
              <w:left w:val="nil"/>
              <w:bottom w:val="single" w:color="auto" w:sz="4" w:space="0"/>
              <w:right w:val="single" w:color="auto" w:sz="4" w:space="0"/>
            </w:tcBorders>
            <w:noWrap/>
            <w:vAlign w:val="center"/>
          </w:tcPr>
          <w:p>
            <w:pPr>
              <w:widowControl/>
              <w:spacing w:line="200" w:lineRule="atLeast"/>
              <w:rPr>
                <w:rFonts w:ascii="宋体" w:hAnsi="宋体" w:cs="宋体"/>
                <w:color w:val="auto"/>
                <w:kern w:val="0"/>
                <w:szCs w:val="21"/>
              </w:rPr>
            </w:pPr>
            <w:r>
              <w:rPr>
                <w:rFonts w:hint="eastAsia" w:ascii="宋体" w:hAnsi="宋体" w:cs="宋体"/>
                <w:color w:val="auto"/>
                <w:kern w:val="0"/>
                <w:szCs w:val="21"/>
                <w:lang w:val="en-US" w:eastAsia="zh-CN"/>
              </w:rPr>
              <w:t>223</w:t>
            </w:r>
          </w:p>
        </w:tc>
        <w:tc>
          <w:tcPr>
            <w:tcW w:w="1000" w:type="dxa"/>
            <w:tcBorders>
              <w:top w:val="nil"/>
              <w:left w:val="nil"/>
              <w:bottom w:val="single" w:color="auto" w:sz="4" w:space="0"/>
              <w:right w:val="single" w:color="auto" w:sz="4" w:space="0"/>
            </w:tcBorders>
            <w:noWrap/>
            <w:vAlign w:val="center"/>
          </w:tcPr>
          <w:p>
            <w:pPr>
              <w:widowControl/>
              <w:spacing w:line="200" w:lineRule="atLeast"/>
              <w:rPr>
                <w:rFonts w:hint="default" w:ascii="宋体" w:hAnsi="宋体" w:eastAsia="宋体" w:cs="宋体"/>
                <w:color w:val="auto"/>
                <w:kern w:val="0"/>
                <w:szCs w:val="21"/>
                <w:lang w:val="en-US" w:eastAsia="zh-CN"/>
              </w:rPr>
            </w:pPr>
            <w:r>
              <w:rPr>
                <w:rFonts w:hint="eastAsia" w:ascii="宋体" w:hAnsi="宋体" w:cs="宋体"/>
                <w:color w:val="auto"/>
                <w:kern w:val="0"/>
                <w:szCs w:val="21"/>
                <w:lang w:val="en-US" w:eastAsia="zh-CN"/>
              </w:rPr>
              <w:t>203</w:t>
            </w:r>
          </w:p>
        </w:tc>
        <w:tc>
          <w:tcPr>
            <w:tcW w:w="1446" w:type="dxa"/>
            <w:tcBorders>
              <w:top w:val="nil"/>
              <w:left w:val="nil"/>
              <w:bottom w:val="single" w:color="auto" w:sz="4" w:space="0"/>
              <w:right w:val="single" w:color="auto" w:sz="4" w:space="0"/>
            </w:tcBorders>
            <w:noWrap/>
            <w:vAlign w:val="center"/>
          </w:tcPr>
          <w:p>
            <w:pPr>
              <w:keepNext w:val="0"/>
              <w:keepLines w:val="0"/>
              <w:widowControl/>
              <w:suppressLineNumbers w:val="0"/>
              <w:jc w:val="both"/>
              <w:textAlignment w:val="center"/>
              <w:rPr>
                <w:rFonts w:hint="default" w:ascii="宋体" w:hAnsi="宋体" w:cs="宋体"/>
                <w:color w:val="auto"/>
                <w:kern w:val="0"/>
                <w:szCs w:val="21"/>
                <w:lang w:val="en-US" w:eastAsia="zh-CN"/>
              </w:rPr>
            </w:pPr>
            <w:r>
              <w:rPr>
                <w:rFonts w:hint="eastAsia" w:ascii="宋体" w:hAnsi="宋体" w:eastAsia="宋体" w:cs="宋体"/>
                <w:i w:val="0"/>
                <w:color w:val="000000"/>
                <w:kern w:val="0"/>
                <w:sz w:val="21"/>
                <w:szCs w:val="21"/>
                <w:u w:val="none"/>
                <w:lang w:val="en-US" w:eastAsia="zh-CN" w:bidi="ar"/>
              </w:rPr>
              <w:t>91.</w:t>
            </w:r>
            <w:r>
              <w:rPr>
                <w:rFonts w:hint="eastAsia" w:ascii="宋体" w:hAnsi="宋体" w:cs="宋体"/>
                <w:i w:val="0"/>
                <w:color w:val="000000"/>
                <w:kern w:val="0"/>
                <w:sz w:val="21"/>
                <w:szCs w:val="21"/>
                <w:u w:val="none"/>
                <w:lang w:val="en-US" w:eastAsia="zh-CN" w:bidi="ar"/>
              </w:rPr>
              <w:t>0%</w:t>
            </w:r>
          </w:p>
        </w:tc>
      </w:tr>
      <w:tr>
        <w:tblPrEx>
          <w:tblCellMar>
            <w:top w:w="0" w:type="dxa"/>
            <w:left w:w="108" w:type="dxa"/>
            <w:bottom w:w="0" w:type="dxa"/>
            <w:right w:w="108" w:type="dxa"/>
          </w:tblCellMar>
        </w:tblPrEx>
        <w:trPr>
          <w:trHeight w:val="300" w:hRule="atLeast"/>
          <w:jc w:val="center"/>
        </w:trPr>
        <w:tc>
          <w:tcPr>
            <w:tcW w:w="1240" w:type="dxa"/>
            <w:vMerge w:val="continue"/>
            <w:tcBorders>
              <w:left w:val="single" w:color="auto" w:sz="4" w:space="0"/>
              <w:right w:val="single" w:color="auto" w:sz="4" w:space="0"/>
            </w:tcBorders>
            <w:noWrap/>
            <w:vAlign w:val="center"/>
          </w:tcPr>
          <w:p>
            <w:pPr>
              <w:widowControl/>
              <w:spacing w:line="200" w:lineRule="atLeast"/>
              <w:rPr>
                <w:rFonts w:ascii="宋体" w:hAnsi="宋体" w:cs="宋体"/>
                <w:color w:val="auto"/>
                <w:kern w:val="0"/>
                <w:szCs w:val="21"/>
              </w:rPr>
            </w:pPr>
          </w:p>
        </w:tc>
        <w:tc>
          <w:tcPr>
            <w:tcW w:w="2112"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cs="宋体"/>
                <w:color w:val="auto"/>
                <w:kern w:val="0"/>
                <w:szCs w:val="21"/>
              </w:rPr>
            </w:pPr>
            <w:r>
              <w:rPr>
                <w:rFonts w:hint="eastAsia" w:ascii="宋体" w:hAnsi="宋体" w:eastAsia="宋体" w:cs="宋体"/>
                <w:i w:val="0"/>
                <w:color w:val="auto"/>
                <w:kern w:val="0"/>
                <w:sz w:val="22"/>
                <w:szCs w:val="22"/>
                <w:u w:val="none"/>
                <w:lang w:val="en-US" w:eastAsia="zh-CN" w:bidi="ar"/>
              </w:rPr>
              <w:t>酒店管理</w:t>
            </w:r>
          </w:p>
        </w:tc>
        <w:tc>
          <w:tcPr>
            <w:tcW w:w="638" w:type="dxa"/>
            <w:tcBorders>
              <w:top w:val="nil"/>
              <w:left w:val="nil"/>
              <w:bottom w:val="single" w:color="auto" w:sz="4" w:space="0"/>
              <w:right w:val="single" w:color="auto" w:sz="4" w:space="0"/>
            </w:tcBorders>
            <w:noWrap/>
            <w:vAlign w:val="center"/>
          </w:tcPr>
          <w:p>
            <w:pPr>
              <w:widowControl/>
              <w:spacing w:line="200" w:lineRule="atLeast"/>
              <w:rPr>
                <w:rFonts w:hint="eastAsia" w:ascii="宋体" w:hAnsi="宋体" w:eastAsia="宋体" w:cs="宋体"/>
                <w:color w:val="auto"/>
                <w:kern w:val="0"/>
                <w:szCs w:val="21"/>
                <w:lang w:val="en-US" w:eastAsia="zh-CN"/>
              </w:rPr>
            </w:pPr>
            <w:r>
              <w:rPr>
                <w:rFonts w:hint="eastAsia" w:ascii="宋体" w:hAnsi="宋体" w:cs="宋体"/>
                <w:color w:val="auto"/>
                <w:kern w:val="0"/>
                <w:szCs w:val="21"/>
                <w:lang w:val="en-US" w:eastAsia="zh-CN"/>
              </w:rPr>
              <w:t>3</w:t>
            </w:r>
          </w:p>
        </w:tc>
        <w:tc>
          <w:tcPr>
            <w:tcW w:w="1125" w:type="dxa"/>
            <w:tcBorders>
              <w:top w:val="nil"/>
              <w:left w:val="nil"/>
              <w:bottom w:val="single" w:color="auto" w:sz="4" w:space="0"/>
              <w:right w:val="single" w:color="auto" w:sz="4" w:space="0"/>
            </w:tcBorders>
            <w:noWrap/>
            <w:vAlign w:val="center"/>
          </w:tcPr>
          <w:p>
            <w:pPr>
              <w:widowControl/>
              <w:spacing w:line="200" w:lineRule="atLeast"/>
              <w:rPr>
                <w:rFonts w:ascii="宋体" w:hAnsi="宋体" w:cs="宋体"/>
                <w:color w:val="auto"/>
                <w:kern w:val="0"/>
                <w:szCs w:val="21"/>
              </w:rPr>
            </w:pPr>
            <w:r>
              <w:rPr>
                <w:rFonts w:hint="eastAsia" w:ascii="宋体" w:hAnsi="宋体" w:cs="宋体"/>
                <w:color w:val="auto"/>
                <w:kern w:val="0"/>
                <w:szCs w:val="21"/>
                <w:lang w:val="en-US" w:eastAsia="zh-CN"/>
              </w:rPr>
              <w:t>29</w:t>
            </w:r>
          </w:p>
        </w:tc>
        <w:tc>
          <w:tcPr>
            <w:tcW w:w="1000" w:type="dxa"/>
            <w:tcBorders>
              <w:top w:val="nil"/>
              <w:left w:val="nil"/>
              <w:bottom w:val="single" w:color="auto" w:sz="4" w:space="0"/>
              <w:right w:val="single" w:color="auto" w:sz="4" w:space="0"/>
            </w:tcBorders>
            <w:noWrap/>
            <w:vAlign w:val="center"/>
          </w:tcPr>
          <w:p>
            <w:pPr>
              <w:widowControl/>
              <w:spacing w:line="200" w:lineRule="atLeast"/>
              <w:rPr>
                <w:rFonts w:hint="default" w:ascii="宋体" w:hAnsi="宋体" w:eastAsia="宋体" w:cs="宋体"/>
                <w:color w:val="auto"/>
                <w:kern w:val="0"/>
                <w:szCs w:val="21"/>
                <w:lang w:val="en-US" w:eastAsia="zh-CN"/>
              </w:rPr>
            </w:pPr>
            <w:r>
              <w:rPr>
                <w:rFonts w:hint="eastAsia" w:ascii="宋体" w:hAnsi="宋体" w:cs="宋体"/>
                <w:color w:val="auto"/>
                <w:kern w:val="0"/>
                <w:szCs w:val="21"/>
                <w:lang w:val="en-US" w:eastAsia="zh-CN"/>
              </w:rPr>
              <w:t>28</w:t>
            </w:r>
          </w:p>
        </w:tc>
        <w:tc>
          <w:tcPr>
            <w:tcW w:w="1446" w:type="dxa"/>
            <w:tcBorders>
              <w:top w:val="nil"/>
              <w:left w:val="nil"/>
              <w:bottom w:val="single" w:color="auto" w:sz="4" w:space="0"/>
              <w:right w:val="single" w:color="auto" w:sz="4" w:space="0"/>
            </w:tcBorders>
            <w:noWrap/>
            <w:vAlign w:val="center"/>
          </w:tcPr>
          <w:p>
            <w:pPr>
              <w:keepNext w:val="0"/>
              <w:keepLines w:val="0"/>
              <w:widowControl/>
              <w:suppressLineNumbers w:val="0"/>
              <w:jc w:val="both"/>
              <w:textAlignment w:val="center"/>
              <w:rPr>
                <w:rFonts w:hint="eastAsia" w:ascii="宋体" w:hAnsi="宋体" w:cs="宋体"/>
                <w:color w:val="auto"/>
                <w:kern w:val="0"/>
                <w:szCs w:val="21"/>
                <w:lang w:val="en-US" w:eastAsia="zh-CN"/>
              </w:rPr>
            </w:pPr>
            <w:r>
              <w:rPr>
                <w:rFonts w:hint="eastAsia" w:ascii="宋体" w:hAnsi="宋体" w:eastAsia="宋体" w:cs="宋体"/>
                <w:i w:val="0"/>
                <w:color w:val="000000"/>
                <w:kern w:val="0"/>
                <w:sz w:val="21"/>
                <w:szCs w:val="21"/>
                <w:u w:val="none"/>
                <w:lang w:val="en-US" w:eastAsia="zh-CN" w:bidi="ar"/>
              </w:rPr>
              <w:t>96.6%</w:t>
            </w:r>
          </w:p>
        </w:tc>
      </w:tr>
      <w:tr>
        <w:tblPrEx>
          <w:tblCellMar>
            <w:top w:w="0" w:type="dxa"/>
            <w:left w:w="108" w:type="dxa"/>
            <w:bottom w:w="0" w:type="dxa"/>
            <w:right w:w="108" w:type="dxa"/>
          </w:tblCellMar>
        </w:tblPrEx>
        <w:trPr>
          <w:trHeight w:val="300" w:hRule="atLeast"/>
          <w:jc w:val="center"/>
        </w:trPr>
        <w:tc>
          <w:tcPr>
            <w:tcW w:w="1240" w:type="dxa"/>
            <w:vMerge w:val="continue"/>
            <w:tcBorders>
              <w:left w:val="single" w:color="auto" w:sz="4" w:space="0"/>
              <w:right w:val="single" w:color="auto" w:sz="4" w:space="0"/>
            </w:tcBorders>
            <w:noWrap/>
            <w:vAlign w:val="center"/>
          </w:tcPr>
          <w:p>
            <w:pPr>
              <w:widowControl/>
              <w:spacing w:line="200" w:lineRule="atLeast"/>
              <w:rPr>
                <w:rFonts w:ascii="宋体" w:hAnsi="宋体" w:cs="宋体"/>
                <w:color w:val="auto"/>
                <w:kern w:val="0"/>
                <w:szCs w:val="21"/>
              </w:rPr>
            </w:pPr>
          </w:p>
        </w:tc>
        <w:tc>
          <w:tcPr>
            <w:tcW w:w="2112"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cs="宋体"/>
                <w:color w:val="auto"/>
                <w:kern w:val="0"/>
                <w:szCs w:val="21"/>
              </w:rPr>
            </w:pPr>
            <w:r>
              <w:rPr>
                <w:rFonts w:hint="eastAsia" w:ascii="宋体" w:hAnsi="宋体" w:eastAsia="宋体" w:cs="宋体"/>
                <w:i w:val="0"/>
                <w:color w:val="auto"/>
                <w:kern w:val="0"/>
                <w:sz w:val="22"/>
                <w:szCs w:val="22"/>
                <w:u w:val="none"/>
                <w:lang w:val="en-US" w:eastAsia="zh-CN" w:bidi="ar"/>
              </w:rPr>
              <w:t>酒店管理</w:t>
            </w:r>
          </w:p>
        </w:tc>
        <w:tc>
          <w:tcPr>
            <w:tcW w:w="638" w:type="dxa"/>
            <w:tcBorders>
              <w:top w:val="nil"/>
              <w:left w:val="nil"/>
              <w:bottom w:val="single" w:color="auto" w:sz="4" w:space="0"/>
              <w:right w:val="single" w:color="auto" w:sz="4" w:space="0"/>
            </w:tcBorders>
            <w:noWrap/>
            <w:vAlign w:val="center"/>
          </w:tcPr>
          <w:p>
            <w:pPr>
              <w:widowControl/>
              <w:spacing w:line="200" w:lineRule="atLeast"/>
              <w:rPr>
                <w:rFonts w:ascii="宋体" w:hAnsi="宋体" w:cs="宋体"/>
                <w:color w:val="auto"/>
                <w:kern w:val="0"/>
                <w:szCs w:val="21"/>
              </w:rPr>
            </w:pPr>
            <w:r>
              <w:rPr>
                <w:rFonts w:hint="eastAsia" w:ascii="宋体" w:hAnsi="宋体" w:cs="宋体"/>
                <w:color w:val="auto"/>
                <w:kern w:val="0"/>
                <w:szCs w:val="21"/>
              </w:rPr>
              <w:t>5</w:t>
            </w:r>
          </w:p>
        </w:tc>
        <w:tc>
          <w:tcPr>
            <w:tcW w:w="1125" w:type="dxa"/>
            <w:tcBorders>
              <w:top w:val="nil"/>
              <w:left w:val="nil"/>
              <w:bottom w:val="single" w:color="auto" w:sz="4" w:space="0"/>
              <w:right w:val="single" w:color="auto" w:sz="4" w:space="0"/>
            </w:tcBorders>
            <w:noWrap/>
            <w:vAlign w:val="center"/>
          </w:tcPr>
          <w:p>
            <w:pPr>
              <w:widowControl/>
              <w:spacing w:line="200" w:lineRule="atLeast"/>
              <w:rPr>
                <w:rFonts w:ascii="宋体" w:hAnsi="宋体" w:cs="宋体"/>
                <w:color w:val="auto"/>
                <w:kern w:val="0"/>
                <w:szCs w:val="21"/>
              </w:rPr>
            </w:pPr>
            <w:r>
              <w:rPr>
                <w:rFonts w:hint="eastAsia" w:ascii="宋体" w:hAnsi="宋体" w:cs="宋体"/>
                <w:color w:val="auto"/>
                <w:kern w:val="0"/>
                <w:szCs w:val="21"/>
                <w:lang w:val="en-US" w:eastAsia="zh-CN"/>
              </w:rPr>
              <w:t>34</w:t>
            </w:r>
          </w:p>
        </w:tc>
        <w:tc>
          <w:tcPr>
            <w:tcW w:w="1000" w:type="dxa"/>
            <w:tcBorders>
              <w:top w:val="nil"/>
              <w:left w:val="nil"/>
              <w:bottom w:val="single" w:color="auto" w:sz="4" w:space="0"/>
              <w:right w:val="single" w:color="auto" w:sz="4" w:space="0"/>
            </w:tcBorders>
            <w:noWrap/>
            <w:vAlign w:val="center"/>
          </w:tcPr>
          <w:p>
            <w:pPr>
              <w:widowControl/>
              <w:spacing w:line="200" w:lineRule="atLeast"/>
              <w:rPr>
                <w:rFonts w:hint="default" w:ascii="宋体" w:hAnsi="宋体" w:eastAsia="宋体" w:cs="宋体"/>
                <w:color w:val="auto"/>
                <w:kern w:val="0"/>
                <w:szCs w:val="21"/>
                <w:lang w:val="en-US" w:eastAsia="zh-CN"/>
              </w:rPr>
            </w:pPr>
            <w:r>
              <w:rPr>
                <w:rFonts w:hint="eastAsia" w:ascii="宋体" w:hAnsi="宋体" w:cs="宋体"/>
                <w:color w:val="auto"/>
                <w:kern w:val="0"/>
                <w:szCs w:val="21"/>
                <w:lang w:val="en-US" w:eastAsia="zh-CN"/>
              </w:rPr>
              <w:t>33</w:t>
            </w:r>
          </w:p>
        </w:tc>
        <w:tc>
          <w:tcPr>
            <w:tcW w:w="1446" w:type="dxa"/>
            <w:tcBorders>
              <w:top w:val="nil"/>
              <w:left w:val="nil"/>
              <w:bottom w:val="single" w:color="auto" w:sz="4" w:space="0"/>
              <w:right w:val="single" w:color="auto" w:sz="4" w:space="0"/>
            </w:tcBorders>
            <w:noWrap/>
            <w:vAlign w:val="center"/>
          </w:tcPr>
          <w:p>
            <w:pPr>
              <w:keepNext w:val="0"/>
              <w:keepLines w:val="0"/>
              <w:widowControl/>
              <w:suppressLineNumbers w:val="0"/>
              <w:jc w:val="both"/>
              <w:textAlignment w:val="center"/>
              <w:rPr>
                <w:rFonts w:hint="eastAsia" w:ascii="宋体" w:hAnsi="宋体" w:cs="宋体"/>
                <w:color w:val="auto"/>
                <w:kern w:val="0"/>
                <w:szCs w:val="21"/>
                <w:lang w:val="en-US" w:eastAsia="zh-CN"/>
              </w:rPr>
            </w:pPr>
            <w:r>
              <w:rPr>
                <w:rFonts w:hint="eastAsia" w:ascii="宋体" w:hAnsi="宋体" w:eastAsia="宋体" w:cs="宋体"/>
                <w:i w:val="0"/>
                <w:color w:val="000000"/>
                <w:kern w:val="0"/>
                <w:sz w:val="21"/>
                <w:szCs w:val="21"/>
                <w:u w:val="none"/>
                <w:lang w:val="en-US" w:eastAsia="zh-CN" w:bidi="ar"/>
              </w:rPr>
              <w:t>97.1%</w:t>
            </w:r>
          </w:p>
        </w:tc>
      </w:tr>
      <w:tr>
        <w:tblPrEx>
          <w:tblCellMar>
            <w:top w:w="0" w:type="dxa"/>
            <w:left w:w="108" w:type="dxa"/>
            <w:bottom w:w="0" w:type="dxa"/>
            <w:right w:w="108" w:type="dxa"/>
          </w:tblCellMar>
        </w:tblPrEx>
        <w:trPr>
          <w:trHeight w:val="300" w:hRule="atLeast"/>
          <w:jc w:val="center"/>
        </w:trPr>
        <w:tc>
          <w:tcPr>
            <w:tcW w:w="1240" w:type="dxa"/>
            <w:vMerge w:val="continue"/>
            <w:tcBorders>
              <w:left w:val="single" w:color="auto" w:sz="4" w:space="0"/>
              <w:right w:val="single" w:color="auto" w:sz="4" w:space="0"/>
            </w:tcBorders>
            <w:noWrap/>
            <w:vAlign w:val="center"/>
          </w:tcPr>
          <w:p>
            <w:pPr>
              <w:widowControl/>
              <w:spacing w:line="200" w:lineRule="atLeast"/>
              <w:rPr>
                <w:rFonts w:ascii="宋体" w:hAnsi="宋体" w:cs="宋体"/>
                <w:color w:val="auto"/>
                <w:kern w:val="0"/>
                <w:szCs w:val="21"/>
              </w:rPr>
            </w:pPr>
          </w:p>
        </w:tc>
        <w:tc>
          <w:tcPr>
            <w:tcW w:w="2112"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cs="宋体"/>
                <w:color w:val="auto"/>
                <w:kern w:val="0"/>
                <w:szCs w:val="21"/>
              </w:rPr>
            </w:pPr>
            <w:r>
              <w:rPr>
                <w:rFonts w:hint="eastAsia" w:ascii="宋体" w:hAnsi="宋体" w:eastAsia="宋体" w:cs="宋体"/>
                <w:i w:val="0"/>
                <w:color w:val="auto"/>
                <w:kern w:val="0"/>
                <w:sz w:val="22"/>
                <w:szCs w:val="22"/>
                <w:u w:val="none"/>
                <w:lang w:val="en-US" w:eastAsia="zh-CN" w:bidi="ar"/>
              </w:rPr>
              <w:t>旅游管理</w:t>
            </w:r>
          </w:p>
        </w:tc>
        <w:tc>
          <w:tcPr>
            <w:tcW w:w="638" w:type="dxa"/>
            <w:tcBorders>
              <w:top w:val="nil"/>
              <w:left w:val="nil"/>
              <w:bottom w:val="single" w:color="auto" w:sz="4" w:space="0"/>
              <w:right w:val="single" w:color="auto" w:sz="4" w:space="0"/>
            </w:tcBorders>
            <w:noWrap/>
            <w:vAlign w:val="center"/>
          </w:tcPr>
          <w:p>
            <w:pPr>
              <w:widowControl/>
              <w:spacing w:line="200" w:lineRule="atLeast"/>
              <w:rPr>
                <w:rFonts w:ascii="宋体" w:hAnsi="宋体" w:cs="宋体"/>
                <w:color w:val="auto"/>
                <w:kern w:val="0"/>
                <w:szCs w:val="21"/>
              </w:rPr>
            </w:pPr>
            <w:r>
              <w:rPr>
                <w:rFonts w:hint="eastAsia" w:ascii="宋体" w:hAnsi="宋体" w:cs="宋体"/>
                <w:color w:val="auto"/>
                <w:kern w:val="0"/>
                <w:szCs w:val="21"/>
                <w:lang w:val="en-US" w:eastAsia="zh-CN"/>
              </w:rPr>
              <w:t>2</w:t>
            </w:r>
          </w:p>
        </w:tc>
        <w:tc>
          <w:tcPr>
            <w:tcW w:w="1125" w:type="dxa"/>
            <w:tcBorders>
              <w:top w:val="nil"/>
              <w:left w:val="nil"/>
              <w:bottom w:val="single" w:color="auto" w:sz="4" w:space="0"/>
              <w:right w:val="single" w:color="auto" w:sz="4" w:space="0"/>
            </w:tcBorders>
            <w:noWrap/>
            <w:vAlign w:val="center"/>
          </w:tcPr>
          <w:p>
            <w:pPr>
              <w:widowControl/>
              <w:spacing w:line="200" w:lineRule="atLeast"/>
              <w:rPr>
                <w:rFonts w:ascii="宋体" w:hAnsi="宋体" w:cs="宋体"/>
                <w:color w:val="auto"/>
                <w:kern w:val="0"/>
                <w:szCs w:val="21"/>
              </w:rPr>
            </w:pPr>
            <w:r>
              <w:rPr>
                <w:rFonts w:hint="eastAsia" w:ascii="宋体" w:hAnsi="宋体" w:cs="宋体"/>
                <w:color w:val="auto"/>
                <w:kern w:val="0"/>
                <w:szCs w:val="21"/>
                <w:lang w:val="en-US" w:eastAsia="zh-CN"/>
              </w:rPr>
              <w:t>240</w:t>
            </w:r>
          </w:p>
        </w:tc>
        <w:tc>
          <w:tcPr>
            <w:tcW w:w="1000" w:type="dxa"/>
            <w:tcBorders>
              <w:top w:val="nil"/>
              <w:left w:val="nil"/>
              <w:bottom w:val="single" w:color="auto" w:sz="4" w:space="0"/>
              <w:right w:val="single" w:color="auto" w:sz="4" w:space="0"/>
            </w:tcBorders>
            <w:noWrap/>
            <w:vAlign w:val="center"/>
          </w:tcPr>
          <w:p>
            <w:pPr>
              <w:widowControl/>
              <w:spacing w:line="200" w:lineRule="atLeast"/>
              <w:rPr>
                <w:rFonts w:hint="default" w:ascii="宋体" w:hAnsi="宋体" w:eastAsia="宋体" w:cs="宋体"/>
                <w:color w:val="auto"/>
                <w:kern w:val="0"/>
                <w:szCs w:val="21"/>
                <w:lang w:val="en-US" w:eastAsia="zh-CN"/>
              </w:rPr>
            </w:pPr>
            <w:r>
              <w:rPr>
                <w:rFonts w:hint="eastAsia" w:ascii="宋体" w:hAnsi="宋体" w:cs="宋体"/>
                <w:color w:val="auto"/>
                <w:kern w:val="0"/>
                <w:szCs w:val="21"/>
                <w:lang w:val="en-US" w:eastAsia="zh-CN"/>
              </w:rPr>
              <w:t>229</w:t>
            </w:r>
          </w:p>
        </w:tc>
        <w:tc>
          <w:tcPr>
            <w:tcW w:w="1446" w:type="dxa"/>
            <w:tcBorders>
              <w:top w:val="nil"/>
              <w:left w:val="nil"/>
              <w:bottom w:val="single" w:color="auto" w:sz="4" w:space="0"/>
              <w:right w:val="single" w:color="auto" w:sz="4" w:space="0"/>
            </w:tcBorders>
            <w:noWrap/>
            <w:vAlign w:val="center"/>
          </w:tcPr>
          <w:p>
            <w:pPr>
              <w:keepNext w:val="0"/>
              <w:keepLines w:val="0"/>
              <w:widowControl/>
              <w:suppressLineNumbers w:val="0"/>
              <w:jc w:val="both"/>
              <w:textAlignment w:val="center"/>
              <w:rPr>
                <w:rFonts w:hint="eastAsia" w:ascii="宋体" w:hAnsi="宋体" w:cs="宋体"/>
                <w:color w:val="auto"/>
                <w:kern w:val="0"/>
                <w:szCs w:val="21"/>
                <w:lang w:val="en-US" w:eastAsia="zh-CN"/>
              </w:rPr>
            </w:pPr>
            <w:r>
              <w:rPr>
                <w:rFonts w:hint="eastAsia" w:ascii="宋体" w:hAnsi="宋体" w:eastAsia="宋体" w:cs="宋体"/>
                <w:i w:val="0"/>
                <w:color w:val="000000"/>
                <w:kern w:val="0"/>
                <w:sz w:val="21"/>
                <w:szCs w:val="21"/>
                <w:u w:val="none"/>
                <w:lang w:val="en-US" w:eastAsia="zh-CN" w:bidi="ar"/>
              </w:rPr>
              <w:t>95.4%</w:t>
            </w:r>
          </w:p>
        </w:tc>
      </w:tr>
      <w:tr>
        <w:tblPrEx>
          <w:tblCellMar>
            <w:top w:w="0" w:type="dxa"/>
            <w:left w:w="108" w:type="dxa"/>
            <w:bottom w:w="0" w:type="dxa"/>
            <w:right w:w="108" w:type="dxa"/>
          </w:tblCellMar>
        </w:tblPrEx>
        <w:trPr>
          <w:trHeight w:val="300" w:hRule="atLeast"/>
          <w:jc w:val="center"/>
        </w:trPr>
        <w:tc>
          <w:tcPr>
            <w:tcW w:w="1240" w:type="dxa"/>
            <w:vMerge w:val="continue"/>
            <w:tcBorders>
              <w:left w:val="single" w:color="auto" w:sz="4" w:space="0"/>
              <w:right w:val="single" w:color="auto" w:sz="4" w:space="0"/>
            </w:tcBorders>
            <w:noWrap/>
            <w:vAlign w:val="center"/>
          </w:tcPr>
          <w:p>
            <w:pPr>
              <w:widowControl/>
              <w:spacing w:line="200" w:lineRule="atLeast"/>
              <w:rPr>
                <w:rFonts w:ascii="宋体" w:hAnsi="宋体" w:cs="宋体"/>
                <w:color w:val="auto"/>
                <w:kern w:val="0"/>
                <w:szCs w:val="21"/>
              </w:rPr>
            </w:pPr>
          </w:p>
        </w:tc>
        <w:tc>
          <w:tcPr>
            <w:tcW w:w="2112"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cs="宋体"/>
                <w:color w:val="auto"/>
                <w:kern w:val="0"/>
                <w:szCs w:val="21"/>
              </w:rPr>
            </w:pPr>
            <w:r>
              <w:rPr>
                <w:rFonts w:hint="eastAsia" w:ascii="宋体" w:hAnsi="宋体" w:eastAsia="宋体" w:cs="宋体"/>
                <w:i w:val="0"/>
                <w:color w:val="auto"/>
                <w:kern w:val="0"/>
                <w:sz w:val="22"/>
                <w:szCs w:val="22"/>
                <w:u w:val="none"/>
                <w:lang w:val="en-US" w:eastAsia="zh-CN" w:bidi="ar"/>
              </w:rPr>
              <w:t>旅游管理</w:t>
            </w:r>
          </w:p>
        </w:tc>
        <w:tc>
          <w:tcPr>
            <w:tcW w:w="638" w:type="dxa"/>
            <w:tcBorders>
              <w:top w:val="nil"/>
              <w:left w:val="nil"/>
              <w:bottom w:val="single" w:color="auto" w:sz="4" w:space="0"/>
              <w:right w:val="nil"/>
            </w:tcBorders>
            <w:noWrap/>
            <w:vAlign w:val="center"/>
          </w:tcPr>
          <w:p>
            <w:pPr>
              <w:widowControl/>
              <w:spacing w:line="200" w:lineRule="atLeast"/>
              <w:rPr>
                <w:rFonts w:ascii="宋体" w:hAnsi="宋体" w:cs="宋体"/>
                <w:color w:val="auto"/>
                <w:kern w:val="0"/>
                <w:szCs w:val="21"/>
              </w:rPr>
            </w:pPr>
            <w:r>
              <w:rPr>
                <w:rFonts w:hint="eastAsia" w:ascii="宋体" w:hAnsi="宋体" w:cs="宋体"/>
                <w:color w:val="auto"/>
                <w:kern w:val="0"/>
                <w:szCs w:val="21"/>
                <w:lang w:val="en-US" w:eastAsia="zh-CN"/>
              </w:rPr>
              <w:t>3</w:t>
            </w:r>
          </w:p>
        </w:tc>
        <w:tc>
          <w:tcPr>
            <w:tcW w:w="1125" w:type="dxa"/>
            <w:tcBorders>
              <w:top w:val="nil"/>
              <w:left w:val="single" w:color="auto" w:sz="4" w:space="0"/>
              <w:bottom w:val="single" w:color="auto" w:sz="4" w:space="0"/>
              <w:right w:val="single" w:color="auto" w:sz="4" w:space="0"/>
            </w:tcBorders>
            <w:noWrap/>
            <w:vAlign w:val="center"/>
          </w:tcPr>
          <w:p>
            <w:pPr>
              <w:widowControl/>
              <w:spacing w:line="200" w:lineRule="atLeast"/>
              <w:rPr>
                <w:rFonts w:ascii="宋体" w:hAnsi="宋体" w:cs="宋体"/>
                <w:color w:val="auto"/>
                <w:kern w:val="0"/>
                <w:szCs w:val="21"/>
              </w:rPr>
            </w:pPr>
            <w:r>
              <w:rPr>
                <w:rFonts w:hint="eastAsia" w:ascii="宋体" w:hAnsi="宋体" w:cs="宋体"/>
                <w:color w:val="auto"/>
                <w:kern w:val="0"/>
                <w:szCs w:val="21"/>
                <w:lang w:val="en-US" w:eastAsia="zh-CN"/>
              </w:rPr>
              <w:t>50</w:t>
            </w:r>
          </w:p>
        </w:tc>
        <w:tc>
          <w:tcPr>
            <w:tcW w:w="1000" w:type="dxa"/>
            <w:tcBorders>
              <w:top w:val="nil"/>
              <w:left w:val="nil"/>
              <w:bottom w:val="single" w:color="auto" w:sz="4" w:space="0"/>
              <w:right w:val="single" w:color="auto" w:sz="4" w:space="0"/>
            </w:tcBorders>
            <w:noWrap/>
            <w:vAlign w:val="center"/>
          </w:tcPr>
          <w:p>
            <w:pPr>
              <w:widowControl/>
              <w:spacing w:line="200" w:lineRule="atLeast"/>
              <w:rPr>
                <w:rFonts w:hint="default" w:ascii="宋体" w:hAnsi="宋体" w:eastAsia="宋体" w:cs="宋体"/>
                <w:color w:val="auto"/>
                <w:kern w:val="0"/>
                <w:szCs w:val="21"/>
                <w:lang w:val="en-US" w:eastAsia="zh-CN"/>
              </w:rPr>
            </w:pPr>
            <w:r>
              <w:rPr>
                <w:rFonts w:hint="eastAsia" w:ascii="宋体" w:hAnsi="宋体" w:cs="宋体"/>
                <w:color w:val="auto"/>
                <w:kern w:val="0"/>
                <w:szCs w:val="21"/>
                <w:lang w:val="en-US" w:eastAsia="zh-CN"/>
              </w:rPr>
              <w:t>50</w:t>
            </w:r>
          </w:p>
        </w:tc>
        <w:tc>
          <w:tcPr>
            <w:tcW w:w="1446" w:type="dxa"/>
            <w:tcBorders>
              <w:top w:val="nil"/>
              <w:left w:val="nil"/>
              <w:bottom w:val="single" w:color="auto" w:sz="4" w:space="0"/>
              <w:right w:val="single" w:color="auto" w:sz="4" w:space="0"/>
            </w:tcBorders>
            <w:noWrap/>
            <w:vAlign w:val="center"/>
          </w:tcPr>
          <w:p>
            <w:pPr>
              <w:keepNext w:val="0"/>
              <w:keepLines w:val="0"/>
              <w:widowControl/>
              <w:suppressLineNumbers w:val="0"/>
              <w:jc w:val="both"/>
              <w:textAlignment w:val="center"/>
              <w:rPr>
                <w:rFonts w:hint="eastAsia" w:ascii="宋体" w:hAnsi="宋体" w:cs="宋体"/>
                <w:color w:val="auto"/>
                <w:kern w:val="0"/>
                <w:szCs w:val="21"/>
                <w:lang w:val="en-US" w:eastAsia="zh-CN"/>
              </w:rPr>
            </w:pPr>
            <w:r>
              <w:rPr>
                <w:rFonts w:hint="eastAsia" w:ascii="宋体" w:hAnsi="宋体" w:eastAsia="宋体" w:cs="宋体"/>
                <w:i w:val="0"/>
                <w:color w:val="000000"/>
                <w:kern w:val="0"/>
                <w:sz w:val="21"/>
                <w:szCs w:val="21"/>
                <w:u w:val="none"/>
                <w:lang w:val="en-US" w:eastAsia="zh-CN" w:bidi="ar"/>
              </w:rPr>
              <w:t>100.0%</w:t>
            </w:r>
          </w:p>
        </w:tc>
      </w:tr>
      <w:tr>
        <w:tblPrEx>
          <w:tblCellMar>
            <w:top w:w="0" w:type="dxa"/>
            <w:left w:w="108" w:type="dxa"/>
            <w:bottom w:w="0" w:type="dxa"/>
            <w:right w:w="108" w:type="dxa"/>
          </w:tblCellMar>
        </w:tblPrEx>
        <w:trPr>
          <w:trHeight w:val="90" w:hRule="atLeast"/>
          <w:jc w:val="center"/>
        </w:trPr>
        <w:tc>
          <w:tcPr>
            <w:tcW w:w="1240" w:type="dxa"/>
            <w:vMerge w:val="continue"/>
            <w:tcBorders>
              <w:left w:val="single" w:color="auto" w:sz="4" w:space="0"/>
              <w:bottom w:val="single" w:color="auto" w:sz="4" w:space="0"/>
              <w:right w:val="single" w:color="auto" w:sz="4" w:space="0"/>
            </w:tcBorders>
            <w:noWrap/>
            <w:vAlign w:val="center"/>
          </w:tcPr>
          <w:p>
            <w:pPr>
              <w:widowControl/>
              <w:spacing w:line="200" w:lineRule="atLeast"/>
              <w:rPr>
                <w:rFonts w:ascii="宋体" w:hAnsi="宋体" w:cs="宋体"/>
                <w:color w:val="auto"/>
                <w:kern w:val="0"/>
                <w:szCs w:val="21"/>
              </w:rPr>
            </w:pPr>
          </w:p>
        </w:tc>
        <w:tc>
          <w:tcPr>
            <w:tcW w:w="2112"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cs="宋体"/>
                <w:color w:val="auto"/>
                <w:kern w:val="0"/>
                <w:szCs w:val="21"/>
              </w:rPr>
            </w:pPr>
            <w:r>
              <w:rPr>
                <w:rFonts w:hint="eastAsia" w:ascii="宋体" w:hAnsi="宋体" w:eastAsia="宋体" w:cs="宋体"/>
                <w:i w:val="0"/>
                <w:color w:val="auto"/>
                <w:kern w:val="0"/>
                <w:sz w:val="22"/>
                <w:szCs w:val="22"/>
                <w:u w:val="none"/>
                <w:lang w:val="en-US" w:eastAsia="zh-CN" w:bidi="ar"/>
              </w:rPr>
              <w:t>旅游管理</w:t>
            </w:r>
          </w:p>
        </w:tc>
        <w:tc>
          <w:tcPr>
            <w:tcW w:w="638" w:type="dxa"/>
            <w:tcBorders>
              <w:top w:val="nil"/>
              <w:left w:val="nil"/>
              <w:bottom w:val="single" w:color="auto" w:sz="4" w:space="0"/>
              <w:right w:val="nil"/>
            </w:tcBorders>
            <w:noWrap/>
            <w:vAlign w:val="center"/>
          </w:tcPr>
          <w:p>
            <w:pPr>
              <w:widowControl/>
              <w:spacing w:line="200" w:lineRule="atLeast"/>
              <w:rPr>
                <w:rFonts w:ascii="宋体" w:hAnsi="宋体" w:cs="宋体"/>
                <w:color w:val="auto"/>
                <w:kern w:val="0"/>
                <w:szCs w:val="21"/>
              </w:rPr>
            </w:pPr>
            <w:r>
              <w:rPr>
                <w:rFonts w:hint="eastAsia" w:ascii="宋体" w:hAnsi="宋体" w:cs="宋体"/>
                <w:color w:val="auto"/>
                <w:kern w:val="0"/>
                <w:szCs w:val="21"/>
              </w:rPr>
              <w:t>5</w:t>
            </w:r>
          </w:p>
        </w:tc>
        <w:tc>
          <w:tcPr>
            <w:tcW w:w="1125" w:type="dxa"/>
            <w:tcBorders>
              <w:top w:val="nil"/>
              <w:left w:val="single" w:color="auto" w:sz="4" w:space="0"/>
              <w:bottom w:val="single" w:color="auto" w:sz="4" w:space="0"/>
              <w:right w:val="single" w:color="auto" w:sz="4" w:space="0"/>
            </w:tcBorders>
            <w:noWrap/>
            <w:vAlign w:val="center"/>
          </w:tcPr>
          <w:p>
            <w:pPr>
              <w:widowControl/>
              <w:spacing w:line="200" w:lineRule="atLeast"/>
              <w:rPr>
                <w:rFonts w:ascii="宋体" w:hAnsi="宋体" w:cs="宋体"/>
                <w:color w:val="auto"/>
                <w:kern w:val="0"/>
                <w:szCs w:val="21"/>
              </w:rPr>
            </w:pPr>
            <w:r>
              <w:rPr>
                <w:rFonts w:hint="eastAsia" w:ascii="宋体" w:hAnsi="宋体" w:cs="宋体"/>
                <w:color w:val="auto"/>
                <w:kern w:val="0"/>
                <w:szCs w:val="21"/>
                <w:lang w:val="en-US" w:eastAsia="zh-CN"/>
              </w:rPr>
              <w:t>82</w:t>
            </w:r>
          </w:p>
        </w:tc>
        <w:tc>
          <w:tcPr>
            <w:tcW w:w="1000" w:type="dxa"/>
            <w:tcBorders>
              <w:top w:val="nil"/>
              <w:left w:val="nil"/>
              <w:bottom w:val="single" w:color="auto" w:sz="4" w:space="0"/>
              <w:right w:val="single" w:color="auto" w:sz="4" w:space="0"/>
            </w:tcBorders>
            <w:noWrap/>
            <w:vAlign w:val="center"/>
          </w:tcPr>
          <w:p>
            <w:pPr>
              <w:widowControl/>
              <w:spacing w:line="200" w:lineRule="atLeast"/>
              <w:rPr>
                <w:rFonts w:hint="default" w:ascii="宋体" w:hAnsi="宋体" w:eastAsia="宋体" w:cs="宋体"/>
                <w:color w:val="auto"/>
                <w:kern w:val="0"/>
                <w:szCs w:val="21"/>
                <w:lang w:val="en-US" w:eastAsia="zh-CN"/>
              </w:rPr>
            </w:pPr>
            <w:r>
              <w:rPr>
                <w:rFonts w:hint="eastAsia" w:ascii="宋体" w:hAnsi="宋体" w:cs="宋体"/>
                <w:color w:val="auto"/>
                <w:kern w:val="0"/>
                <w:szCs w:val="21"/>
                <w:lang w:val="en-US" w:eastAsia="zh-CN"/>
              </w:rPr>
              <w:t>80</w:t>
            </w:r>
          </w:p>
        </w:tc>
        <w:tc>
          <w:tcPr>
            <w:tcW w:w="1446" w:type="dxa"/>
            <w:tcBorders>
              <w:top w:val="nil"/>
              <w:left w:val="nil"/>
              <w:bottom w:val="single" w:color="auto" w:sz="4" w:space="0"/>
              <w:right w:val="single" w:color="auto" w:sz="4" w:space="0"/>
            </w:tcBorders>
            <w:noWrap/>
            <w:vAlign w:val="center"/>
          </w:tcPr>
          <w:p>
            <w:pPr>
              <w:keepNext w:val="0"/>
              <w:keepLines w:val="0"/>
              <w:widowControl/>
              <w:suppressLineNumbers w:val="0"/>
              <w:jc w:val="both"/>
              <w:textAlignment w:val="center"/>
              <w:rPr>
                <w:rFonts w:hint="eastAsia" w:ascii="宋体" w:hAnsi="宋体" w:cs="宋体"/>
                <w:color w:val="auto"/>
                <w:kern w:val="0"/>
                <w:szCs w:val="21"/>
                <w:lang w:val="en-US" w:eastAsia="zh-CN"/>
              </w:rPr>
            </w:pPr>
            <w:r>
              <w:rPr>
                <w:rFonts w:hint="eastAsia" w:ascii="宋体" w:hAnsi="宋体" w:eastAsia="宋体" w:cs="宋体"/>
                <w:i w:val="0"/>
                <w:color w:val="000000"/>
                <w:kern w:val="0"/>
                <w:sz w:val="21"/>
                <w:szCs w:val="21"/>
                <w:u w:val="none"/>
                <w:lang w:val="en-US" w:eastAsia="zh-CN" w:bidi="ar"/>
              </w:rPr>
              <w:t>97.6%</w:t>
            </w:r>
          </w:p>
        </w:tc>
      </w:tr>
      <w:tr>
        <w:tblPrEx>
          <w:tblCellMar>
            <w:top w:w="0" w:type="dxa"/>
            <w:left w:w="108" w:type="dxa"/>
            <w:bottom w:w="0" w:type="dxa"/>
            <w:right w:w="108" w:type="dxa"/>
          </w:tblCellMar>
        </w:tblPrEx>
        <w:trPr>
          <w:trHeight w:val="225" w:hRule="atLeast"/>
          <w:jc w:val="center"/>
        </w:trPr>
        <w:tc>
          <w:tcPr>
            <w:tcW w:w="1240" w:type="dxa"/>
            <w:vMerge w:val="continue"/>
            <w:tcBorders>
              <w:top w:val="single" w:color="auto" w:sz="4" w:space="0"/>
              <w:left w:val="single" w:color="auto" w:sz="4" w:space="0"/>
              <w:bottom w:val="single" w:color="auto" w:sz="4" w:space="0"/>
              <w:right w:val="single" w:color="auto" w:sz="4" w:space="0"/>
            </w:tcBorders>
            <w:noWrap/>
            <w:vAlign w:val="center"/>
          </w:tcPr>
          <w:p>
            <w:pPr>
              <w:widowControl/>
              <w:spacing w:line="200" w:lineRule="atLeast"/>
              <w:rPr>
                <w:rFonts w:ascii="宋体" w:hAnsi="宋体" w:cs="宋体"/>
                <w:color w:val="auto"/>
                <w:kern w:val="0"/>
                <w:szCs w:val="21"/>
              </w:rPr>
            </w:pPr>
          </w:p>
        </w:tc>
        <w:tc>
          <w:tcPr>
            <w:tcW w:w="211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cs="宋体"/>
                <w:color w:val="auto"/>
                <w:kern w:val="0"/>
                <w:szCs w:val="21"/>
              </w:rPr>
            </w:pPr>
            <w:r>
              <w:rPr>
                <w:rFonts w:hint="eastAsia" w:ascii="宋体" w:hAnsi="宋体" w:eastAsia="宋体" w:cs="宋体"/>
                <w:i w:val="0"/>
                <w:color w:val="auto"/>
                <w:kern w:val="0"/>
                <w:sz w:val="22"/>
                <w:szCs w:val="22"/>
                <w:u w:val="none"/>
                <w:lang w:val="en-US" w:eastAsia="zh-CN" w:bidi="ar"/>
              </w:rPr>
              <w:t>烹调工艺与营养</w:t>
            </w:r>
          </w:p>
        </w:tc>
        <w:tc>
          <w:tcPr>
            <w:tcW w:w="638" w:type="dxa"/>
            <w:tcBorders>
              <w:top w:val="single" w:color="auto" w:sz="4" w:space="0"/>
              <w:left w:val="single" w:color="auto" w:sz="4" w:space="0"/>
              <w:bottom w:val="single" w:color="auto" w:sz="4" w:space="0"/>
              <w:right w:val="single" w:color="auto" w:sz="4" w:space="0"/>
            </w:tcBorders>
            <w:noWrap/>
            <w:vAlign w:val="center"/>
          </w:tcPr>
          <w:p>
            <w:pPr>
              <w:widowControl/>
              <w:spacing w:line="200" w:lineRule="atLeast"/>
              <w:rPr>
                <w:rFonts w:hint="eastAsia" w:ascii="宋体" w:hAnsi="宋体" w:eastAsia="宋体" w:cs="宋体"/>
                <w:color w:val="auto"/>
                <w:kern w:val="0"/>
                <w:szCs w:val="21"/>
                <w:lang w:eastAsia="zh-CN"/>
              </w:rPr>
            </w:pPr>
            <w:r>
              <w:rPr>
                <w:rFonts w:hint="eastAsia" w:ascii="宋体" w:hAnsi="宋体" w:cs="宋体"/>
                <w:color w:val="auto"/>
                <w:kern w:val="0"/>
                <w:szCs w:val="21"/>
                <w:lang w:val="en-US" w:eastAsia="zh-CN"/>
              </w:rPr>
              <w:t>2</w:t>
            </w:r>
          </w:p>
        </w:tc>
        <w:tc>
          <w:tcPr>
            <w:tcW w:w="1125" w:type="dxa"/>
            <w:tcBorders>
              <w:top w:val="single" w:color="auto" w:sz="4" w:space="0"/>
              <w:left w:val="single" w:color="auto" w:sz="4" w:space="0"/>
              <w:bottom w:val="single" w:color="auto" w:sz="4" w:space="0"/>
              <w:right w:val="single" w:color="auto" w:sz="4" w:space="0"/>
            </w:tcBorders>
            <w:noWrap/>
            <w:vAlign w:val="center"/>
          </w:tcPr>
          <w:p>
            <w:pPr>
              <w:widowControl/>
              <w:spacing w:line="200" w:lineRule="atLeast"/>
              <w:rPr>
                <w:rFonts w:ascii="宋体" w:hAnsi="宋体" w:cs="宋体"/>
                <w:color w:val="auto"/>
                <w:kern w:val="0"/>
                <w:szCs w:val="21"/>
              </w:rPr>
            </w:pPr>
            <w:r>
              <w:rPr>
                <w:rFonts w:hint="eastAsia" w:ascii="宋体" w:hAnsi="宋体" w:cs="宋体"/>
                <w:color w:val="auto"/>
                <w:kern w:val="0"/>
                <w:szCs w:val="21"/>
                <w:lang w:val="en-US" w:eastAsia="zh-CN"/>
              </w:rPr>
              <w:t>63</w:t>
            </w:r>
          </w:p>
        </w:tc>
        <w:tc>
          <w:tcPr>
            <w:tcW w:w="1000" w:type="dxa"/>
            <w:tcBorders>
              <w:top w:val="single" w:color="auto" w:sz="4" w:space="0"/>
              <w:left w:val="single" w:color="auto" w:sz="4" w:space="0"/>
              <w:bottom w:val="single" w:color="auto" w:sz="4" w:space="0"/>
              <w:right w:val="single" w:color="auto" w:sz="4" w:space="0"/>
            </w:tcBorders>
            <w:noWrap/>
            <w:vAlign w:val="center"/>
          </w:tcPr>
          <w:p>
            <w:pPr>
              <w:widowControl/>
              <w:spacing w:line="200" w:lineRule="atLeast"/>
              <w:rPr>
                <w:rFonts w:hint="default" w:ascii="宋体" w:hAnsi="宋体" w:eastAsia="宋体" w:cs="宋体"/>
                <w:color w:val="auto"/>
                <w:kern w:val="0"/>
                <w:szCs w:val="21"/>
                <w:lang w:val="en-US" w:eastAsia="zh-CN"/>
              </w:rPr>
            </w:pPr>
            <w:r>
              <w:rPr>
                <w:rFonts w:hint="eastAsia" w:ascii="宋体" w:hAnsi="宋体" w:cs="宋体"/>
                <w:color w:val="auto"/>
                <w:kern w:val="0"/>
                <w:szCs w:val="21"/>
                <w:lang w:val="en-US" w:eastAsia="zh-CN"/>
              </w:rPr>
              <w:t>62</w:t>
            </w:r>
          </w:p>
        </w:tc>
        <w:tc>
          <w:tcPr>
            <w:tcW w:w="144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both"/>
              <w:textAlignment w:val="center"/>
              <w:rPr>
                <w:rFonts w:hint="eastAsia" w:ascii="宋体" w:hAnsi="宋体" w:cs="宋体"/>
                <w:color w:val="auto"/>
                <w:kern w:val="0"/>
                <w:szCs w:val="21"/>
                <w:lang w:val="en-US" w:eastAsia="zh-CN"/>
              </w:rPr>
            </w:pPr>
            <w:r>
              <w:rPr>
                <w:rFonts w:hint="eastAsia" w:ascii="宋体" w:hAnsi="宋体" w:eastAsia="宋体" w:cs="宋体"/>
                <w:i w:val="0"/>
                <w:color w:val="000000"/>
                <w:kern w:val="0"/>
                <w:sz w:val="21"/>
                <w:szCs w:val="21"/>
                <w:u w:val="none"/>
                <w:lang w:val="en-US" w:eastAsia="zh-CN" w:bidi="ar"/>
              </w:rPr>
              <w:t>98.4%</w:t>
            </w:r>
          </w:p>
        </w:tc>
      </w:tr>
      <w:tr>
        <w:tblPrEx>
          <w:tblCellMar>
            <w:top w:w="0" w:type="dxa"/>
            <w:left w:w="108" w:type="dxa"/>
            <w:bottom w:w="0" w:type="dxa"/>
            <w:right w:w="108" w:type="dxa"/>
          </w:tblCellMar>
        </w:tblPrEx>
        <w:trPr>
          <w:trHeight w:val="184" w:hRule="atLeast"/>
          <w:jc w:val="center"/>
        </w:trPr>
        <w:tc>
          <w:tcPr>
            <w:tcW w:w="1240" w:type="dxa"/>
            <w:vMerge w:val="restart"/>
            <w:tcBorders>
              <w:top w:val="single" w:color="auto" w:sz="4" w:space="0"/>
              <w:left w:val="single" w:color="auto" w:sz="4" w:space="0"/>
              <w:right w:val="single" w:color="auto" w:sz="4" w:space="0"/>
            </w:tcBorders>
            <w:noWrap/>
            <w:vAlign w:val="center"/>
          </w:tcPr>
          <w:p>
            <w:pPr>
              <w:widowControl/>
              <w:spacing w:line="200" w:lineRule="atLeast"/>
              <w:rPr>
                <w:rFonts w:ascii="宋体" w:hAnsi="宋体" w:cs="宋体"/>
                <w:kern w:val="0"/>
                <w:szCs w:val="21"/>
              </w:rPr>
            </w:pPr>
            <w:r>
              <w:rPr>
                <w:rFonts w:hint="eastAsia" w:ascii="宋体" w:hAnsi="宋体" w:cs="宋体"/>
                <w:kern w:val="0"/>
                <w:szCs w:val="21"/>
              </w:rPr>
              <w:t>人文艺术系</w:t>
            </w:r>
          </w:p>
        </w:tc>
        <w:tc>
          <w:tcPr>
            <w:tcW w:w="2112"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cs="宋体"/>
                <w:kern w:val="0"/>
                <w:szCs w:val="21"/>
              </w:rPr>
            </w:pPr>
            <w:r>
              <w:rPr>
                <w:rFonts w:hint="eastAsia" w:ascii="宋体" w:hAnsi="宋体" w:eastAsia="宋体" w:cs="宋体"/>
                <w:i w:val="0"/>
                <w:color w:val="000000"/>
                <w:kern w:val="0"/>
                <w:sz w:val="22"/>
                <w:szCs w:val="22"/>
                <w:u w:val="none"/>
                <w:lang w:val="en-US" w:eastAsia="zh-CN" w:bidi="ar"/>
              </w:rPr>
              <w:t>视觉传播设计与制作</w:t>
            </w:r>
          </w:p>
        </w:tc>
        <w:tc>
          <w:tcPr>
            <w:tcW w:w="638" w:type="dxa"/>
            <w:tcBorders>
              <w:top w:val="single" w:color="auto" w:sz="4" w:space="0"/>
              <w:left w:val="nil"/>
              <w:bottom w:val="single" w:color="auto" w:sz="4" w:space="0"/>
              <w:right w:val="single" w:color="auto" w:sz="4" w:space="0"/>
            </w:tcBorders>
            <w:noWrap/>
            <w:vAlign w:val="center"/>
          </w:tcPr>
          <w:p>
            <w:pPr>
              <w:widowControl/>
              <w:spacing w:line="200" w:lineRule="atLeast"/>
              <w:rPr>
                <w:rFonts w:ascii="宋体" w:hAnsi="宋体" w:cs="宋体"/>
                <w:kern w:val="0"/>
                <w:szCs w:val="21"/>
              </w:rPr>
            </w:pPr>
            <w:r>
              <w:rPr>
                <w:rFonts w:hint="eastAsia" w:ascii="宋体" w:hAnsi="宋体" w:cs="宋体"/>
                <w:kern w:val="0"/>
                <w:szCs w:val="21"/>
              </w:rPr>
              <w:t>3</w:t>
            </w:r>
          </w:p>
        </w:tc>
        <w:tc>
          <w:tcPr>
            <w:tcW w:w="1125" w:type="dxa"/>
            <w:tcBorders>
              <w:top w:val="single" w:color="auto" w:sz="4" w:space="0"/>
              <w:left w:val="nil"/>
              <w:bottom w:val="single" w:color="auto" w:sz="4" w:space="0"/>
              <w:right w:val="single" w:color="auto" w:sz="4" w:space="0"/>
            </w:tcBorders>
            <w:noWrap/>
            <w:vAlign w:val="center"/>
          </w:tcPr>
          <w:p>
            <w:pPr>
              <w:widowControl/>
              <w:spacing w:line="200" w:lineRule="atLeast"/>
              <w:rPr>
                <w:rFonts w:ascii="宋体" w:hAnsi="宋体" w:cs="宋体"/>
                <w:kern w:val="0"/>
                <w:szCs w:val="21"/>
              </w:rPr>
            </w:pPr>
            <w:r>
              <w:rPr>
                <w:rFonts w:hint="eastAsia" w:ascii="宋体" w:hAnsi="宋体" w:cs="宋体"/>
                <w:kern w:val="0"/>
                <w:szCs w:val="21"/>
                <w:lang w:val="en-US" w:eastAsia="zh-CN"/>
              </w:rPr>
              <w:t>5</w:t>
            </w:r>
          </w:p>
        </w:tc>
        <w:tc>
          <w:tcPr>
            <w:tcW w:w="1000" w:type="dxa"/>
            <w:tcBorders>
              <w:top w:val="single" w:color="auto" w:sz="4" w:space="0"/>
              <w:left w:val="nil"/>
              <w:bottom w:val="single" w:color="auto" w:sz="4" w:space="0"/>
              <w:right w:val="single" w:color="auto" w:sz="4" w:space="0"/>
            </w:tcBorders>
            <w:noWrap/>
            <w:vAlign w:val="center"/>
          </w:tcPr>
          <w:p>
            <w:pPr>
              <w:widowControl/>
              <w:spacing w:line="200" w:lineRule="atLeast"/>
              <w:rPr>
                <w:rFonts w:hint="default" w:ascii="宋体" w:hAnsi="宋体" w:eastAsia="宋体" w:cs="宋体"/>
                <w:kern w:val="0"/>
                <w:szCs w:val="21"/>
                <w:lang w:val="en-US" w:eastAsia="zh-CN"/>
              </w:rPr>
            </w:pPr>
            <w:r>
              <w:rPr>
                <w:rFonts w:hint="eastAsia" w:ascii="宋体" w:hAnsi="宋体" w:cs="宋体"/>
                <w:kern w:val="0"/>
                <w:szCs w:val="21"/>
                <w:lang w:val="en-US" w:eastAsia="zh-CN"/>
              </w:rPr>
              <w:t>5</w:t>
            </w:r>
          </w:p>
        </w:tc>
        <w:tc>
          <w:tcPr>
            <w:tcW w:w="1446"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both"/>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100.0%</w:t>
            </w:r>
          </w:p>
        </w:tc>
      </w:tr>
      <w:tr>
        <w:tblPrEx>
          <w:tblCellMar>
            <w:top w:w="0" w:type="dxa"/>
            <w:left w:w="108" w:type="dxa"/>
            <w:bottom w:w="0" w:type="dxa"/>
            <w:right w:w="108" w:type="dxa"/>
          </w:tblCellMar>
        </w:tblPrEx>
        <w:trPr>
          <w:trHeight w:val="116" w:hRule="atLeast"/>
          <w:jc w:val="center"/>
        </w:trPr>
        <w:tc>
          <w:tcPr>
            <w:tcW w:w="1240" w:type="dxa"/>
            <w:vMerge w:val="continue"/>
            <w:tcBorders>
              <w:left w:val="single" w:color="auto" w:sz="4" w:space="0"/>
              <w:bottom w:val="single" w:color="auto" w:sz="4" w:space="0"/>
              <w:right w:val="single" w:color="auto" w:sz="4" w:space="0"/>
            </w:tcBorders>
            <w:noWrap/>
            <w:vAlign w:val="center"/>
          </w:tcPr>
          <w:p>
            <w:pPr>
              <w:widowControl/>
              <w:spacing w:line="200" w:lineRule="atLeast"/>
              <w:rPr>
                <w:rFonts w:hint="eastAsia" w:ascii="宋体" w:hAnsi="宋体" w:cs="宋体"/>
                <w:kern w:val="0"/>
                <w:szCs w:val="21"/>
              </w:rPr>
            </w:pPr>
          </w:p>
        </w:tc>
        <w:tc>
          <w:tcPr>
            <w:tcW w:w="2112"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音乐表演</w:t>
            </w:r>
          </w:p>
        </w:tc>
        <w:tc>
          <w:tcPr>
            <w:tcW w:w="638" w:type="dxa"/>
            <w:tcBorders>
              <w:top w:val="single" w:color="auto" w:sz="4" w:space="0"/>
              <w:left w:val="nil"/>
              <w:bottom w:val="single" w:color="auto" w:sz="4" w:space="0"/>
              <w:right w:val="single" w:color="auto" w:sz="4" w:space="0"/>
            </w:tcBorders>
            <w:noWrap/>
            <w:vAlign w:val="center"/>
          </w:tcPr>
          <w:p>
            <w:pPr>
              <w:widowControl/>
              <w:spacing w:line="200" w:lineRule="atLeast"/>
              <w:rPr>
                <w:rFonts w:hint="eastAsia" w:ascii="宋体" w:hAnsi="宋体" w:eastAsia="宋体" w:cs="宋体"/>
                <w:kern w:val="0"/>
                <w:szCs w:val="21"/>
                <w:lang w:val="en-US" w:eastAsia="zh-CN"/>
              </w:rPr>
            </w:pPr>
            <w:r>
              <w:rPr>
                <w:rFonts w:hint="eastAsia" w:ascii="宋体" w:hAnsi="宋体" w:cs="宋体"/>
                <w:kern w:val="0"/>
                <w:szCs w:val="21"/>
                <w:lang w:val="en-US" w:eastAsia="zh-CN"/>
              </w:rPr>
              <w:t>3</w:t>
            </w:r>
          </w:p>
        </w:tc>
        <w:tc>
          <w:tcPr>
            <w:tcW w:w="1125" w:type="dxa"/>
            <w:tcBorders>
              <w:top w:val="single" w:color="auto" w:sz="4" w:space="0"/>
              <w:left w:val="nil"/>
              <w:bottom w:val="single" w:color="auto" w:sz="4" w:space="0"/>
              <w:right w:val="single" w:color="auto" w:sz="4" w:space="0"/>
            </w:tcBorders>
            <w:noWrap/>
            <w:vAlign w:val="center"/>
          </w:tcPr>
          <w:p>
            <w:pPr>
              <w:widowControl/>
              <w:spacing w:line="200" w:lineRule="atLeast"/>
              <w:rPr>
                <w:rFonts w:hint="eastAsia" w:ascii="宋体" w:hAnsi="宋体" w:cs="宋体"/>
                <w:kern w:val="0"/>
                <w:szCs w:val="21"/>
              </w:rPr>
            </w:pPr>
            <w:r>
              <w:rPr>
                <w:rFonts w:hint="eastAsia" w:ascii="宋体" w:hAnsi="宋体" w:cs="宋体"/>
                <w:kern w:val="0"/>
                <w:szCs w:val="21"/>
                <w:lang w:val="en-US" w:eastAsia="zh-CN"/>
              </w:rPr>
              <w:t>6</w:t>
            </w:r>
          </w:p>
        </w:tc>
        <w:tc>
          <w:tcPr>
            <w:tcW w:w="1000" w:type="dxa"/>
            <w:tcBorders>
              <w:top w:val="single" w:color="auto" w:sz="4" w:space="0"/>
              <w:left w:val="nil"/>
              <w:bottom w:val="single" w:color="auto" w:sz="4" w:space="0"/>
              <w:right w:val="single" w:color="auto" w:sz="4" w:space="0"/>
            </w:tcBorders>
            <w:noWrap/>
            <w:vAlign w:val="center"/>
          </w:tcPr>
          <w:p>
            <w:pPr>
              <w:widowControl/>
              <w:spacing w:line="200" w:lineRule="atLeast"/>
              <w:rPr>
                <w:rFonts w:hint="default" w:ascii="宋体" w:hAnsi="宋体" w:eastAsia="宋体" w:cs="宋体"/>
                <w:kern w:val="0"/>
                <w:szCs w:val="21"/>
                <w:lang w:val="en-US" w:eastAsia="zh-CN"/>
              </w:rPr>
            </w:pPr>
            <w:r>
              <w:rPr>
                <w:rFonts w:hint="eastAsia" w:ascii="宋体" w:hAnsi="宋体" w:cs="宋体"/>
                <w:kern w:val="0"/>
                <w:szCs w:val="21"/>
                <w:lang w:val="en-US" w:eastAsia="zh-CN"/>
              </w:rPr>
              <w:t>6</w:t>
            </w:r>
          </w:p>
        </w:tc>
        <w:tc>
          <w:tcPr>
            <w:tcW w:w="1446"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both"/>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100.0%</w:t>
            </w:r>
          </w:p>
        </w:tc>
      </w:tr>
    </w:tbl>
    <w:p>
      <w:pPr>
        <w:jc w:val="left"/>
        <w:rPr>
          <w:rFonts w:hint="eastAsia" w:asciiTheme="minorEastAsia" w:hAnsiTheme="minorEastAsia" w:eastAsiaTheme="minorEastAsia" w:cstheme="minorEastAsia"/>
          <w:color w:val="000000"/>
          <w:sz w:val="21"/>
          <w:szCs w:val="32"/>
        </w:rPr>
      </w:pPr>
      <w:bookmarkStart w:id="63" w:name="_Toc532230092"/>
      <w:bookmarkStart w:id="64" w:name="_Toc5131"/>
      <w:bookmarkStart w:id="65" w:name="_Toc24232_WPSOffice_Level3"/>
      <w:bookmarkStart w:id="66" w:name="_Toc7906"/>
      <w:r>
        <w:rPr>
          <w:rFonts w:hint="eastAsia" w:asciiTheme="minorEastAsia" w:hAnsiTheme="minorEastAsia" w:eastAsiaTheme="minorEastAsia" w:cstheme="minorEastAsia"/>
          <w:color w:val="000000"/>
          <w:sz w:val="21"/>
          <w:szCs w:val="32"/>
        </w:rPr>
        <w:t>数据来源：海南外国语职业学院201</w:t>
      </w:r>
      <w:r>
        <w:rPr>
          <w:rFonts w:hint="eastAsia" w:asciiTheme="minorEastAsia" w:hAnsiTheme="minorEastAsia" w:eastAsiaTheme="minorEastAsia" w:cstheme="minorEastAsia"/>
          <w:color w:val="000000"/>
          <w:sz w:val="21"/>
          <w:szCs w:val="32"/>
          <w:lang w:val="en-US" w:eastAsia="zh-CN"/>
        </w:rPr>
        <w:t>9</w:t>
      </w:r>
      <w:r>
        <w:rPr>
          <w:rFonts w:hint="eastAsia" w:asciiTheme="minorEastAsia" w:hAnsiTheme="minorEastAsia" w:eastAsiaTheme="minorEastAsia" w:cstheme="minorEastAsia"/>
          <w:color w:val="000000"/>
          <w:sz w:val="21"/>
          <w:szCs w:val="32"/>
        </w:rPr>
        <w:t>届毕业生就业监测系统数据</w:t>
      </w:r>
      <w:r>
        <w:rPr>
          <w:rFonts w:hint="eastAsia" w:asciiTheme="minorEastAsia" w:hAnsiTheme="minorEastAsia" w:eastAsiaTheme="minorEastAsia" w:cstheme="minorEastAsia"/>
          <w:color w:val="000000"/>
          <w:sz w:val="21"/>
          <w:szCs w:val="32"/>
          <w:lang w:eastAsia="zh-CN"/>
        </w:rPr>
        <w:t>（截止至</w:t>
      </w:r>
      <w:r>
        <w:rPr>
          <w:rFonts w:hint="eastAsia" w:asciiTheme="minorEastAsia" w:hAnsiTheme="minorEastAsia" w:eastAsiaTheme="minorEastAsia" w:cstheme="minorEastAsia"/>
          <w:color w:val="000000"/>
          <w:sz w:val="21"/>
          <w:szCs w:val="32"/>
          <w:lang w:val="en-US" w:eastAsia="zh-CN"/>
        </w:rPr>
        <w:t>2019年12月26日</w:t>
      </w:r>
      <w:r>
        <w:rPr>
          <w:rFonts w:hint="eastAsia" w:asciiTheme="minorEastAsia" w:hAnsiTheme="minorEastAsia" w:eastAsiaTheme="minorEastAsia" w:cstheme="minorEastAsia"/>
          <w:color w:val="000000"/>
          <w:sz w:val="21"/>
          <w:szCs w:val="32"/>
          <w:lang w:eastAsia="zh-CN"/>
        </w:rPr>
        <w:t>）</w:t>
      </w:r>
      <w:r>
        <w:rPr>
          <w:rFonts w:hint="eastAsia" w:asciiTheme="minorEastAsia" w:hAnsiTheme="minorEastAsia" w:eastAsiaTheme="minorEastAsia" w:cstheme="minorEastAsia"/>
          <w:color w:val="000000"/>
          <w:sz w:val="21"/>
          <w:szCs w:val="32"/>
        </w:rPr>
        <w:t>。</w:t>
      </w:r>
    </w:p>
    <w:p>
      <w:pPr>
        <w:pStyle w:val="4"/>
        <w:bidi w:val="0"/>
        <w:rPr>
          <w:rFonts w:hint="eastAsia"/>
        </w:rPr>
      </w:pPr>
      <w:bookmarkStart w:id="67" w:name="_Toc4976"/>
      <w:bookmarkStart w:id="68" w:name="_Toc13702"/>
      <w:bookmarkStart w:id="69" w:name="_Toc6596"/>
      <w:r>
        <w:rPr>
          <w:rFonts w:hint="eastAsia"/>
        </w:rPr>
        <w:t>毕业去向分布</w:t>
      </w:r>
      <w:bookmarkEnd w:id="63"/>
      <w:bookmarkEnd w:id="64"/>
      <w:bookmarkEnd w:id="65"/>
      <w:bookmarkEnd w:id="66"/>
      <w:bookmarkEnd w:id="67"/>
      <w:bookmarkEnd w:id="68"/>
      <w:bookmarkEnd w:id="69"/>
    </w:p>
    <w:p>
      <w:pPr>
        <w:pStyle w:val="6"/>
        <w:numPr>
          <w:ilvl w:val="0"/>
          <w:numId w:val="3"/>
        </w:numPr>
        <w:bidi w:val="0"/>
        <w:rPr>
          <w:rFonts w:hint="eastAsia"/>
        </w:rPr>
      </w:pPr>
      <w:bookmarkStart w:id="70" w:name="icb_12"/>
      <w:bookmarkStart w:id="71" w:name="pb_515"/>
      <w:r>
        <w:rPr>
          <w:rFonts w:hint="eastAsia"/>
        </w:rPr>
        <w:t>毕业去向分布</w:t>
      </w:r>
    </w:p>
    <w:p>
      <w:pPr>
        <w:pStyle w:val="7"/>
        <w:bidi w:val="0"/>
        <w:rPr>
          <w:rFonts w:hint="eastAsia"/>
        </w:rPr>
      </w:pPr>
      <w:r>
        <w:rPr>
          <w:rFonts w:hint="eastAsia"/>
        </w:rPr>
        <w:t>本校毕业生去向选择以签约就业为主，2019届通过签就业协议形式就业的比例为</w:t>
      </w:r>
      <w:r>
        <w:t>52</w:t>
      </w:r>
      <w:r>
        <w:rPr>
          <w:rFonts w:hint="eastAsia"/>
        </w:rPr>
        <w:t>.3%。</w:t>
      </w:r>
    </w:p>
    <w:p>
      <w:pPr>
        <w:jc w:val="center"/>
        <w:rPr>
          <w:rFonts w:ascii="Calibri" w:hAnsi="Calibri" w:cs="Arial"/>
          <w:szCs w:val="21"/>
        </w:rPr>
      </w:pPr>
      <w:r>
        <w:rPr>
          <w:rFonts w:ascii="Calibri" w:hAnsi="Calibri" w:cs="Arial"/>
          <w:szCs w:val="21"/>
        </w:rPr>
        <w:drawing>
          <wp:inline distT="0" distB="0" distL="114300" distR="114300">
            <wp:extent cx="5210175" cy="2515235"/>
            <wp:effectExtent l="0" t="0" r="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14"/>
                    <a:stretch>
                      <a:fillRect/>
                    </a:stretch>
                  </pic:blipFill>
                  <pic:spPr>
                    <a:xfrm>
                      <a:off x="0" y="0"/>
                      <a:ext cx="5210175" cy="2515235"/>
                    </a:xfrm>
                    <a:prstGeom prst="rect">
                      <a:avLst/>
                    </a:prstGeom>
                    <a:noFill/>
                    <a:ln>
                      <a:noFill/>
                    </a:ln>
                  </pic:spPr>
                </pic:pic>
              </a:graphicData>
            </a:graphic>
          </wp:inline>
        </w:drawing>
      </w:r>
    </w:p>
    <w:p>
      <w:pPr>
        <w:pStyle w:val="8"/>
        <w:numPr>
          <w:ilvl w:val="0"/>
          <w:numId w:val="0"/>
        </w:numPr>
        <w:spacing w:line="360" w:lineRule="auto"/>
        <w:jc w:val="center"/>
        <w:rPr>
          <w:rFonts w:hint="eastAsia" w:asciiTheme="minorEastAsia" w:hAnsiTheme="minorEastAsia" w:eastAsiaTheme="minorEastAsia" w:cstheme="minorEastAsia"/>
          <w:b/>
          <w:bCs/>
          <w:kern w:val="2"/>
          <w:sz w:val="21"/>
          <w:szCs w:val="21"/>
          <w:lang w:val="en-US" w:eastAsia="zh-CN" w:bidi="ar-SA"/>
        </w:rPr>
      </w:pPr>
      <w:bookmarkStart w:id="72" w:name="_Toc23442224"/>
      <w:bookmarkStart w:id="73" w:name="_Toc531614146"/>
      <w:r>
        <w:rPr>
          <w:rFonts w:hint="eastAsia" w:asciiTheme="minorEastAsia" w:hAnsiTheme="minorEastAsia" w:eastAsiaTheme="minorEastAsia" w:cstheme="minorEastAsia"/>
          <w:b/>
          <w:bCs/>
          <w:kern w:val="2"/>
          <w:sz w:val="21"/>
          <w:szCs w:val="21"/>
          <w:lang w:val="en-US" w:eastAsia="zh-CN" w:bidi="ar-SA"/>
        </w:rPr>
        <w:t>图 1-3毕业去向分布</w:t>
      </w:r>
      <w:bookmarkEnd w:id="72"/>
      <w:bookmarkEnd w:id="73"/>
    </w:p>
    <w:p>
      <w:pPr>
        <w:jc w:val="left"/>
        <w:rPr>
          <w:rFonts w:hint="eastAsia" w:asciiTheme="minorEastAsia" w:hAnsiTheme="minorEastAsia" w:eastAsiaTheme="minorEastAsia" w:cstheme="minorEastAsia"/>
          <w:color w:val="000000"/>
          <w:sz w:val="21"/>
          <w:szCs w:val="32"/>
        </w:rPr>
      </w:pPr>
      <w:r>
        <w:rPr>
          <w:rFonts w:hint="eastAsia" w:asciiTheme="minorEastAsia" w:hAnsiTheme="minorEastAsia" w:eastAsiaTheme="minorEastAsia" w:cstheme="minorEastAsia"/>
          <w:color w:val="000000"/>
          <w:sz w:val="21"/>
          <w:szCs w:val="32"/>
        </w:rPr>
        <w:t>数据来源：海南外国语职业学院数据。</w:t>
      </w:r>
    </w:p>
    <w:bookmarkEnd w:id="70"/>
    <w:bookmarkEnd w:id="71"/>
    <w:p>
      <w:pPr>
        <w:rPr>
          <w:rFonts w:hint="eastAsia" w:ascii="Calibri" w:hAnsi="Calibri"/>
        </w:rPr>
      </w:pPr>
      <w:bookmarkStart w:id="74" w:name="pb_11"/>
      <w:bookmarkStart w:id="75" w:name="icb_18"/>
    </w:p>
    <w:bookmarkEnd w:id="74"/>
    <w:bookmarkEnd w:id="75"/>
    <w:p>
      <w:pPr>
        <w:pStyle w:val="6"/>
        <w:numPr>
          <w:ilvl w:val="0"/>
          <w:numId w:val="3"/>
        </w:numPr>
        <w:bidi w:val="0"/>
      </w:pPr>
      <w:bookmarkStart w:id="76" w:name="itb_140"/>
      <w:bookmarkStart w:id="77" w:name="pb_516"/>
      <w:r>
        <w:rPr>
          <w:rFonts w:hint="eastAsia"/>
        </w:rPr>
        <w:t>各院系及专业的毕业去向分布</w:t>
      </w:r>
    </w:p>
    <w:p>
      <w:pPr>
        <w:pStyle w:val="7"/>
        <w:bidi w:val="0"/>
        <w:ind w:left="0" w:leftChars="0" w:firstLine="419" w:firstLineChars="131"/>
        <w:rPr>
          <w:rFonts w:hint="eastAsia"/>
        </w:rPr>
      </w:pPr>
      <w:bookmarkStart w:id="78" w:name="_Toc531614153"/>
      <w:r>
        <w:rPr>
          <w:rFonts w:hint="eastAsia"/>
        </w:rPr>
        <w:t>本校2019届毕业生中，旅游系、英语系、国际商务系、西语系、公共教学部、东语系以签就业协议形式就业的比例分别是</w:t>
      </w:r>
      <w:r>
        <w:t>64.0</w:t>
      </w:r>
      <w:r>
        <w:rPr>
          <w:rFonts w:hint="eastAsia"/>
        </w:rPr>
        <w:t>%、</w:t>
      </w:r>
      <w:r>
        <w:t>57.3</w:t>
      </w:r>
      <w:r>
        <w:rPr>
          <w:rFonts w:hint="eastAsia"/>
        </w:rPr>
        <w:t>%、</w:t>
      </w:r>
      <w:r>
        <w:t>46.2</w:t>
      </w:r>
      <w:r>
        <w:rPr>
          <w:rFonts w:hint="eastAsia"/>
        </w:rPr>
        <w:t>%、</w:t>
      </w:r>
      <w:r>
        <w:t>35.9</w:t>
      </w:r>
      <w:r>
        <w:rPr>
          <w:rFonts w:hint="eastAsia"/>
        </w:rPr>
        <w:t>%、</w:t>
      </w:r>
      <w:r>
        <w:t>27.3%</w:t>
      </w:r>
      <w:r>
        <w:rPr>
          <w:rFonts w:hint="eastAsia"/>
        </w:rPr>
        <w:t>、21.5%。</w:t>
      </w:r>
    </w:p>
    <w:p>
      <w:pPr>
        <w:pStyle w:val="8"/>
        <w:numPr>
          <w:ilvl w:val="0"/>
          <w:numId w:val="0"/>
        </w:numPr>
        <w:spacing w:line="360" w:lineRule="auto"/>
        <w:jc w:val="center"/>
        <w:rPr>
          <w:rFonts w:hint="eastAsia" w:asciiTheme="minorEastAsia" w:hAnsiTheme="minorEastAsia" w:eastAsiaTheme="minorEastAsia" w:cstheme="minorEastAsia"/>
          <w:b/>
          <w:bCs/>
          <w:color w:val="auto"/>
          <w:sz w:val="18"/>
          <w:szCs w:val="18"/>
          <w:lang w:eastAsia="zh-CN"/>
        </w:rPr>
      </w:pPr>
      <w:bookmarkStart w:id="79" w:name="_Toc23442226"/>
    </w:p>
    <w:p>
      <w:pPr>
        <w:pStyle w:val="8"/>
        <w:numPr>
          <w:ilvl w:val="0"/>
          <w:numId w:val="0"/>
        </w:numPr>
        <w:spacing w:line="360" w:lineRule="auto"/>
        <w:jc w:val="center"/>
        <w:rPr>
          <w:rFonts w:eastAsia="宋体" w:cs="宋体"/>
        </w:rPr>
      </w:pPr>
      <w:r>
        <w:rPr>
          <w:rFonts w:hint="eastAsia" w:asciiTheme="minorEastAsia" w:hAnsiTheme="minorEastAsia" w:eastAsiaTheme="minorEastAsia" w:cstheme="minorEastAsia"/>
          <w:b/>
          <w:bCs/>
          <w:kern w:val="2"/>
          <w:sz w:val="21"/>
          <w:szCs w:val="21"/>
          <w:lang w:val="en-US" w:eastAsia="zh-CN" w:bidi="ar-SA"/>
        </w:rPr>
        <w:t>表 1-4各院系的毕业去向分布</w:t>
      </w:r>
      <w:bookmarkEnd w:id="78"/>
      <w:bookmarkEnd w:id="79"/>
    </w:p>
    <w:p>
      <w:pPr>
        <w:ind w:firstLine="420"/>
        <w:jc w:val="right"/>
        <w:rPr>
          <w:rFonts w:ascii="Calibri" w:hAnsi="Calibri"/>
          <w:kern w:val="0"/>
          <w:sz w:val="20"/>
          <w:szCs w:val="20"/>
        </w:rPr>
      </w:pPr>
      <w:r>
        <w:rPr>
          <w:rFonts w:ascii="Calibri" w:hAnsi="Calibri"/>
          <w:b/>
          <w:sz w:val="18"/>
        </w:rPr>
        <w:t>单位：%</w:t>
      </w:r>
    </w:p>
    <w:tbl>
      <w:tblPr>
        <w:tblStyle w:val="14"/>
        <w:tblW w:w="8672" w:type="dxa"/>
        <w:tblInd w:w="108" w:type="dxa"/>
        <w:tblLayout w:type="fixed"/>
        <w:tblCellMar>
          <w:top w:w="0" w:type="dxa"/>
          <w:left w:w="108" w:type="dxa"/>
          <w:bottom w:w="0" w:type="dxa"/>
          <w:right w:w="108" w:type="dxa"/>
        </w:tblCellMar>
      </w:tblPr>
      <w:tblGrid>
        <w:gridCol w:w="860"/>
        <w:gridCol w:w="866"/>
        <w:gridCol w:w="850"/>
        <w:gridCol w:w="851"/>
        <w:gridCol w:w="709"/>
        <w:gridCol w:w="850"/>
        <w:gridCol w:w="709"/>
        <w:gridCol w:w="709"/>
        <w:gridCol w:w="708"/>
        <w:gridCol w:w="851"/>
        <w:gridCol w:w="709"/>
      </w:tblGrid>
      <w:tr>
        <w:tblPrEx>
          <w:tblCellMar>
            <w:top w:w="0" w:type="dxa"/>
            <w:left w:w="108" w:type="dxa"/>
            <w:bottom w:w="0" w:type="dxa"/>
            <w:right w:w="108" w:type="dxa"/>
          </w:tblCellMar>
        </w:tblPrEx>
        <w:trPr>
          <w:trHeight w:val="720" w:hRule="atLeast"/>
        </w:trPr>
        <w:tc>
          <w:tcPr>
            <w:tcW w:w="860" w:type="dxa"/>
            <w:tcBorders>
              <w:top w:val="nil"/>
              <w:left w:val="nil"/>
              <w:bottom w:val="nil"/>
              <w:right w:val="single" w:color="FFFFFF" w:sz="12" w:space="0"/>
            </w:tcBorders>
            <w:shd w:val="clear" w:color="000000" w:fill="2350A0"/>
            <w:noWrap/>
            <w:vAlign w:val="center"/>
          </w:tcPr>
          <w:p>
            <w:pPr>
              <w:widowControl/>
              <w:spacing w:line="320" w:lineRule="exact"/>
              <w:jc w:val="center"/>
              <w:rPr>
                <w:rFonts w:ascii="宋体" w:hAnsi="宋体" w:cs="宋体"/>
                <w:b/>
                <w:bCs/>
                <w:color w:val="FFFFFF"/>
                <w:kern w:val="0"/>
                <w:sz w:val="20"/>
                <w:szCs w:val="20"/>
              </w:rPr>
            </w:pPr>
            <w:r>
              <w:rPr>
                <w:rFonts w:hint="eastAsia" w:ascii="宋体" w:hAnsi="宋体" w:cs="宋体"/>
                <w:b/>
                <w:bCs/>
                <w:color w:val="FFFFFF"/>
                <w:kern w:val="0"/>
                <w:sz w:val="20"/>
                <w:szCs w:val="20"/>
              </w:rPr>
              <w:t>院系</w:t>
            </w:r>
          </w:p>
          <w:p>
            <w:pPr>
              <w:widowControl/>
              <w:spacing w:line="320" w:lineRule="exact"/>
              <w:jc w:val="center"/>
              <w:rPr>
                <w:rFonts w:ascii="宋体" w:hAnsi="宋体" w:cs="宋体"/>
                <w:b/>
                <w:bCs/>
                <w:color w:val="FFFFFF"/>
                <w:kern w:val="0"/>
                <w:sz w:val="20"/>
                <w:szCs w:val="20"/>
              </w:rPr>
            </w:pPr>
            <w:r>
              <w:rPr>
                <w:rFonts w:hint="eastAsia" w:ascii="宋体" w:hAnsi="宋体" w:cs="宋体"/>
                <w:b/>
                <w:bCs/>
                <w:color w:val="FFFFFF"/>
                <w:kern w:val="0"/>
                <w:sz w:val="20"/>
                <w:szCs w:val="20"/>
              </w:rPr>
              <w:t>名称</w:t>
            </w:r>
          </w:p>
        </w:tc>
        <w:tc>
          <w:tcPr>
            <w:tcW w:w="866" w:type="dxa"/>
            <w:tcBorders>
              <w:top w:val="nil"/>
              <w:left w:val="nil"/>
              <w:bottom w:val="nil"/>
              <w:right w:val="single" w:color="FFFFFF" w:sz="12" w:space="0"/>
            </w:tcBorders>
            <w:shd w:val="clear" w:color="000000" w:fill="2350A0"/>
            <w:noWrap w:val="0"/>
            <w:vAlign w:val="center"/>
          </w:tcPr>
          <w:p>
            <w:pPr>
              <w:widowControl/>
              <w:spacing w:line="320" w:lineRule="exact"/>
              <w:jc w:val="center"/>
              <w:rPr>
                <w:rFonts w:hint="eastAsia" w:ascii="宋体" w:hAnsi="宋体" w:cs="宋体"/>
                <w:b/>
                <w:bCs/>
                <w:color w:val="FFFFFF"/>
                <w:kern w:val="0"/>
                <w:sz w:val="20"/>
                <w:szCs w:val="20"/>
              </w:rPr>
            </w:pPr>
            <w:r>
              <w:rPr>
                <w:rFonts w:hint="eastAsia" w:ascii="宋体" w:hAnsi="宋体" w:cs="宋体"/>
                <w:b/>
                <w:bCs/>
                <w:color w:val="FFFFFF"/>
                <w:kern w:val="0"/>
                <w:sz w:val="20"/>
                <w:szCs w:val="20"/>
              </w:rPr>
              <w:t>签就业</w:t>
            </w:r>
            <w:r>
              <w:rPr>
                <w:rFonts w:hint="eastAsia" w:ascii="宋体" w:hAnsi="宋体" w:cs="宋体"/>
                <w:b/>
                <w:bCs/>
                <w:color w:val="FFFFFF"/>
                <w:kern w:val="0"/>
                <w:sz w:val="20"/>
                <w:szCs w:val="20"/>
              </w:rPr>
              <w:br w:type="textWrapping"/>
            </w:r>
            <w:r>
              <w:rPr>
                <w:rFonts w:hint="eastAsia" w:ascii="宋体" w:hAnsi="宋体" w:cs="宋体"/>
                <w:b/>
                <w:bCs/>
                <w:color w:val="FFFFFF"/>
                <w:kern w:val="0"/>
                <w:sz w:val="20"/>
                <w:szCs w:val="20"/>
              </w:rPr>
              <w:t>协议形</w:t>
            </w:r>
            <w:r>
              <w:rPr>
                <w:rFonts w:hint="eastAsia" w:ascii="宋体" w:hAnsi="宋体" w:cs="宋体"/>
                <w:b/>
                <w:bCs/>
                <w:color w:val="FFFFFF"/>
                <w:kern w:val="0"/>
                <w:sz w:val="20"/>
                <w:szCs w:val="20"/>
              </w:rPr>
              <w:br w:type="textWrapping"/>
            </w:r>
            <w:r>
              <w:rPr>
                <w:rFonts w:hint="eastAsia" w:ascii="宋体" w:hAnsi="宋体" w:cs="宋体"/>
                <w:b/>
                <w:bCs/>
                <w:color w:val="FFFFFF"/>
                <w:kern w:val="0"/>
                <w:sz w:val="20"/>
                <w:szCs w:val="20"/>
              </w:rPr>
              <w:t>式就业</w:t>
            </w:r>
          </w:p>
        </w:tc>
        <w:tc>
          <w:tcPr>
            <w:tcW w:w="850" w:type="dxa"/>
            <w:tcBorders>
              <w:top w:val="nil"/>
              <w:left w:val="nil"/>
              <w:bottom w:val="nil"/>
              <w:right w:val="single" w:color="FFFFFF" w:sz="12" w:space="0"/>
            </w:tcBorders>
            <w:shd w:val="clear" w:color="000000" w:fill="2350A0"/>
            <w:noWrap w:val="0"/>
            <w:vAlign w:val="center"/>
          </w:tcPr>
          <w:p>
            <w:pPr>
              <w:widowControl/>
              <w:spacing w:line="320" w:lineRule="exact"/>
              <w:jc w:val="center"/>
              <w:rPr>
                <w:rFonts w:hint="eastAsia" w:ascii="宋体" w:hAnsi="宋体" w:cs="宋体"/>
                <w:b/>
                <w:bCs/>
                <w:color w:val="FFFFFF"/>
                <w:kern w:val="0"/>
                <w:sz w:val="20"/>
                <w:szCs w:val="20"/>
              </w:rPr>
            </w:pPr>
            <w:r>
              <w:rPr>
                <w:rFonts w:hint="eastAsia" w:ascii="宋体" w:hAnsi="宋体" w:cs="宋体"/>
                <w:b/>
                <w:bCs/>
                <w:color w:val="FFFFFF"/>
                <w:kern w:val="0"/>
                <w:sz w:val="20"/>
                <w:szCs w:val="20"/>
              </w:rPr>
              <w:t>签劳动</w:t>
            </w:r>
            <w:r>
              <w:rPr>
                <w:rFonts w:hint="eastAsia" w:ascii="宋体" w:hAnsi="宋体" w:cs="宋体"/>
                <w:b/>
                <w:bCs/>
                <w:color w:val="FFFFFF"/>
                <w:kern w:val="0"/>
                <w:sz w:val="20"/>
                <w:szCs w:val="20"/>
              </w:rPr>
              <w:br w:type="textWrapping"/>
            </w:r>
            <w:r>
              <w:rPr>
                <w:rFonts w:hint="eastAsia" w:ascii="宋体" w:hAnsi="宋体" w:cs="宋体"/>
                <w:b/>
                <w:bCs/>
                <w:color w:val="FFFFFF"/>
                <w:kern w:val="0"/>
                <w:sz w:val="20"/>
                <w:szCs w:val="20"/>
              </w:rPr>
              <w:t>合同形</w:t>
            </w:r>
            <w:r>
              <w:rPr>
                <w:rFonts w:hint="eastAsia" w:ascii="宋体" w:hAnsi="宋体" w:cs="宋体"/>
                <w:b/>
                <w:bCs/>
                <w:color w:val="FFFFFF"/>
                <w:kern w:val="0"/>
                <w:sz w:val="20"/>
                <w:szCs w:val="20"/>
              </w:rPr>
              <w:br w:type="textWrapping"/>
            </w:r>
            <w:r>
              <w:rPr>
                <w:rFonts w:hint="eastAsia" w:ascii="宋体" w:hAnsi="宋体" w:cs="宋体"/>
                <w:b/>
                <w:bCs/>
                <w:color w:val="FFFFFF"/>
                <w:kern w:val="0"/>
                <w:sz w:val="20"/>
                <w:szCs w:val="20"/>
              </w:rPr>
              <w:t>式就业</w:t>
            </w:r>
          </w:p>
        </w:tc>
        <w:tc>
          <w:tcPr>
            <w:tcW w:w="851" w:type="dxa"/>
            <w:tcBorders>
              <w:top w:val="nil"/>
              <w:left w:val="nil"/>
              <w:bottom w:val="nil"/>
              <w:right w:val="single" w:color="FFFFFF" w:sz="12" w:space="0"/>
            </w:tcBorders>
            <w:shd w:val="clear" w:color="000000" w:fill="2350A0"/>
            <w:noWrap w:val="0"/>
            <w:vAlign w:val="center"/>
          </w:tcPr>
          <w:p>
            <w:pPr>
              <w:widowControl/>
              <w:spacing w:line="320" w:lineRule="exact"/>
              <w:jc w:val="center"/>
              <w:rPr>
                <w:rFonts w:ascii="宋体" w:hAnsi="宋体" w:cs="宋体"/>
                <w:b/>
                <w:bCs/>
                <w:color w:val="FFFFFF"/>
                <w:kern w:val="0"/>
                <w:sz w:val="20"/>
                <w:szCs w:val="20"/>
              </w:rPr>
            </w:pPr>
            <w:r>
              <w:rPr>
                <w:rFonts w:hint="eastAsia" w:ascii="宋体" w:hAnsi="宋体" w:cs="宋体"/>
                <w:b/>
                <w:bCs/>
                <w:color w:val="FFFFFF"/>
                <w:kern w:val="0"/>
                <w:sz w:val="20"/>
                <w:szCs w:val="20"/>
              </w:rPr>
              <w:t>其他录</w:t>
            </w:r>
          </w:p>
          <w:p>
            <w:pPr>
              <w:widowControl/>
              <w:spacing w:line="320" w:lineRule="exact"/>
              <w:jc w:val="center"/>
              <w:rPr>
                <w:rFonts w:ascii="宋体" w:hAnsi="宋体" w:cs="宋体"/>
                <w:b/>
                <w:bCs/>
                <w:color w:val="FFFFFF"/>
                <w:kern w:val="0"/>
                <w:sz w:val="20"/>
                <w:szCs w:val="20"/>
              </w:rPr>
            </w:pPr>
            <w:r>
              <w:rPr>
                <w:rFonts w:hint="eastAsia" w:ascii="宋体" w:hAnsi="宋体" w:cs="宋体"/>
                <w:b/>
                <w:bCs/>
                <w:color w:val="FFFFFF"/>
                <w:kern w:val="0"/>
                <w:sz w:val="20"/>
                <w:szCs w:val="20"/>
              </w:rPr>
              <w:t>用形式</w:t>
            </w:r>
          </w:p>
          <w:p>
            <w:pPr>
              <w:widowControl/>
              <w:spacing w:line="320" w:lineRule="exact"/>
              <w:jc w:val="center"/>
              <w:rPr>
                <w:rFonts w:hint="eastAsia" w:ascii="宋体" w:hAnsi="宋体" w:cs="宋体"/>
                <w:b/>
                <w:bCs/>
                <w:color w:val="FFFFFF"/>
                <w:kern w:val="0"/>
                <w:sz w:val="20"/>
                <w:szCs w:val="20"/>
              </w:rPr>
            </w:pPr>
            <w:r>
              <w:rPr>
                <w:rFonts w:hint="eastAsia" w:ascii="宋体" w:hAnsi="宋体" w:cs="宋体"/>
                <w:b/>
                <w:bCs/>
                <w:color w:val="FFFFFF"/>
                <w:kern w:val="0"/>
                <w:sz w:val="20"/>
                <w:szCs w:val="20"/>
              </w:rPr>
              <w:t>就业</w:t>
            </w:r>
          </w:p>
        </w:tc>
        <w:tc>
          <w:tcPr>
            <w:tcW w:w="709" w:type="dxa"/>
            <w:tcBorders>
              <w:top w:val="nil"/>
              <w:left w:val="nil"/>
              <w:bottom w:val="nil"/>
              <w:right w:val="single" w:color="FFFFFF" w:sz="12" w:space="0"/>
            </w:tcBorders>
            <w:shd w:val="clear" w:color="000000" w:fill="2350A0"/>
            <w:noWrap/>
            <w:vAlign w:val="center"/>
          </w:tcPr>
          <w:p>
            <w:pPr>
              <w:widowControl/>
              <w:spacing w:line="320" w:lineRule="exact"/>
              <w:jc w:val="center"/>
              <w:rPr>
                <w:rFonts w:hint="eastAsia" w:ascii="宋体" w:hAnsi="宋体" w:cs="宋体"/>
                <w:b/>
                <w:bCs/>
                <w:color w:val="FFFFFF"/>
                <w:kern w:val="0"/>
                <w:sz w:val="20"/>
                <w:szCs w:val="20"/>
              </w:rPr>
            </w:pPr>
            <w:r>
              <w:rPr>
                <w:rFonts w:hint="eastAsia" w:ascii="宋体" w:hAnsi="宋体" w:cs="宋体"/>
                <w:b/>
                <w:bCs/>
                <w:color w:val="FFFFFF"/>
                <w:kern w:val="0"/>
                <w:sz w:val="20"/>
                <w:szCs w:val="20"/>
              </w:rPr>
              <w:t>升学</w:t>
            </w:r>
          </w:p>
        </w:tc>
        <w:tc>
          <w:tcPr>
            <w:tcW w:w="850" w:type="dxa"/>
            <w:tcBorders>
              <w:top w:val="nil"/>
              <w:left w:val="nil"/>
              <w:bottom w:val="nil"/>
              <w:right w:val="single" w:color="FFFFFF" w:sz="12" w:space="0"/>
            </w:tcBorders>
            <w:shd w:val="clear" w:color="000000" w:fill="2350A0"/>
            <w:noWrap w:val="0"/>
            <w:vAlign w:val="center"/>
          </w:tcPr>
          <w:p>
            <w:pPr>
              <w:widowControl/>
              <w:spacing w:line="320" w:lineRule="exact"/>
              <w:jc w:val="center"/>
              <w:rPr>
                <w:rFonts w:hint="eastAsia" w:ascii="宋体" w:hAnsi="宋体" w:cs="宋体"/>
                <w:b/>
                <w:bCs/>
                <w:color w:val="FFFFFF"/>
                <w:kern w:val="0"/>
                <w:sz w:val="20"/>
                <w:szCs w:val="20"/>
              </w:rPr>
            </w:pPr>
            <w:r>
              <w:rPr>
                <w:rFonts w:hint="eastAsia" w:ascii="宋体" w:hAnsi="宋体" w:cs="宋体"/>
                <w:b/>
                <w:bCs/>
                <w:color w:val="FFFFFF"/>
                <w:kern w:val="0"/>
                <w:sz w:val="20"/>
                <w:szCs w:val="20"/>
              </w:rPr>
              <w:t>出国、</w:t>
            </w:r>
            <w:r>
              <w:rPr>
                <w:rFonts w:hint="eastAsia" w:ascii="宋体" w:hAnsi="宋体" w:cs="宋体"/>
                <w:b/>
                <w:bCs/>
                <w:color w:val="FFFFFF"/>
                <w:kern w:val="0"/>
                <w:sz w:val="20"/>
                <w:szCs w:val="20"/>
              </w:rPr>
              <w:br w:type="textWrapping"/>
            </w:r>
            <w:r>
              <w:rPr>
                <w:rFonts w:hint="eastAsia" w:ascii="宋体" w:hAnsi="宋体" w:cs="宋体"/>
                <w:b/>
                <w:bCs/>
                <w:color w:val="FFFFFF"/>
                <w:kern w:val="0"/>
                <w:sz w:val="20"/>
                <w:szCs w:val="20"/>
              </w:rPr>
              <w:t>出境</w:t>
            </w:r>
          </w:p>
        </w:tc>
        <w:tc>
          <w:tcPr>
            <w:tcW w:w="709" w:type="dxa"/>
            <w:tcBorders>
              <w:top w:val="nil"/>
              <w:left w:val="nil"/>
              <w:bottom w:val="nil"/>
              <w:right w:val="single" w:color="FFFFFF" w:sz="12" w:space="0"/>
            </w:tcBorders>
            <w:shd w:val="clear" w:color="000000" w:fill="2350A0"/>
            <w:noWrap w:val="0"/>
            <w:vAlign w:val="center"/>
          </w:tcPr>
          <w:p>
            <w:pPr>
              <w:widowControl/>
              <w:spacing w:line="320" w:lineRule="exact"/>
              <w:jc w:val="center"/>
              <w:rPr>
                <w:rFonts w:hint="eastAsia" w:ascii="宋体" w:hAnsi="宋体" w:cs="宋体"/>
                <w:b/>
                <w:bCs/>
                <w:color w:val="FFFFFF"/>
                <w:kern w:val="0"/>
                <w:sz w:val="20"/>
                <w:szCs w:val="20"/>
              </w:rPr>
            </w:pPr>
            <w:r>
              <w:rPr>
                <w:rFonts w:hint="eastAsia" w:ascii="宋体" w:hAnsi="宋体" w:cs="宋体"/>
                <w:b/>
                <w:bCs/>
                <w:color w:val="FFFFFF"/>
                <w:kern w:val="0"/>
                <w:sz w:val="20"/>
                <w:szCs w:val="20"/>
              </w:rPr>
              <w:t>应征</w:t>
            </w:r>
            <w:r>
              <w:rPr>
                <w:rFonts w:hint="eastAsia" w:ascii="宋体" w:hAnsi="宋体" w:cs="宋体"/>
                <w:b/>
                <w:bCs/>
                <w:color w:val="FFFFFF"/>
                <w:kern w:val="0"/>
                <w:sz w:val="20"/>
                <w:szCs w:val="20"/>
              </w:rPr>
              <w:br w:type="textWrapping"/>
            </w:r>
            <w:r>
              <w:rPr>
                <w:rFonts w:hint="eastAsia" w:ascii="宋体" w:hAnsi="宋体" w:cs="宋体"/>
                <w:b/>
                <w:bCs/>
                <w:color w:val="FFFFFF"/>
                <w:kern w:val="0"/>
                <w:sz w:val="20"/>
                <w:szCs w:val="20"/>
              </w:rPr>
              <w:t>义务兵</w:t>
            </w:r>
          </w:p>
        </w:tc>
        <w:tc>
          <w:tcPr>
            <w:tcW w:w="709" w:type="dxa"/>
            <w:tcBorders>
              <w:top w:val="nil"/>
              <w:left w:val="nil"/>
              <w:bottom w:val="nil"/>
              <w:right w:val="single" w:color="FFFFFF" w:sz="12" w:space="0"/>
            </w:tcBorders>
            <w:shd w:val="clear" w:color="000000" w:fill="2350A0"/>
            <w:noWrap/>
            <w:vAlign w:val="center"/>
          </w:tcPr>
          <w:p>
            <w:pPr>
              <w:widowControl/>
              <w:spacing w:line="320" w:lineRule="exact"/>
              <w:jc w:val="center"/>
              <w:rPr>
                <w:rFonts w:hint="eastAsia" w:ascii="宋体" w:hAnsi="宋体" w:cs="宋体"/>
                <w:b/>
                <w:bCs/>
                <w:color w:val="FFFFFF"/>
                <w:kern w:val="0"/>
                <w:sz w:val="20"/>
                <w:szCs w:val="20"/>
              </w:rPr>
            </w:pPr>
            <w:r>
              <w:rPr>
                <w:rFonts w:hint="eastAsia" w:ascii="宋体" w:hAnsi="宋体" w:cs="宋体"/>
                <w:b/>
                <w:bCs/>
                <w:color w:val="FFFFFF"/>
                <w:kern w:val="0"/>
                <w:sz w:val="20"/>
                <w:szCs w:val="20"/>
              </w:rPr>
              <w:t>自由</w:t>
            </w:r>
            <w:r>
              <w:rPr>
                <w:rFonts w:hint="eastAsia" w:ascii="宋体" w:hAnsi="宋体" w:cs="宋体"/>
                <w:b/>
                <w:bCs/>
                <w:color w:val="FFFFFF"/>
                <w:kern w:val="0"/>
                <w:sz w:val="20"/>
                <w:szCs w:val="20"/>
              </w:rPr>
              <w:br w:type="textWrapping"/>
            </w:r>
            <w:r>
              <w:rPr>
                <w:rFonts w:hint="eastAsia" w:ascii="宋体" w:hAnsi="宋体" w:cs="宋体"/>
                <w:b/>
                <w:bCs/>
                <w:color w:val="FFFFFF"/>
                <w:kern w:val="0"/>
                <w:sz w:val="20"/>
                <w:szCs w:val="20"/>
              </w:rPr>
              <w:t>职业</w:t>
            </w:r>
          </w:p>
        </w:tc>
        <w:tc>
          <w:tcPr>
            <w:tcW w:w="708" w:type="dxa"/>
            <w:tcBorders>
              <w:top w:val="nil"/>
              <w:left w:val="nil"/>
              <w:bottom w:val="nil"/>
              <w:right w:val="single" w:color="FFFFFF" w:sz="12" w:space="0"/>
            </w:tcBorders>
            <w:shd w:val="clear" w:color="000000" w:fill="2350A0"/>
            <w:noWrap/>
            <w:vAlign w:val="center"/>
          </w:tcPr>
          <w:p>
            <w:pPr>
              <w:widowControl/>
              <w:spacing w:line="320" w:lineRule="exact"/>
              <w:jc w:val="center"/>
              <w:rPr>
                <w:rFonts w:hint="eastAsia" w:ascii="宋体" w:hAnsi="宋体" w:cs="宋体"/>
                <w:b/>
                <w:bCs/>
                <w:color w:val="FFFFFF"/>
                <w:kern w:val="0"/>
                <w:sz w:val="20"/>
                <w:szCs w:val="20"/>
              </w:rPr>
            </w:pPr>
            <w:r>
              <w:rPr>
                <w:rFonts w:hint="eastAsia" w:ascii="宋体" w:hAnsi="宋体" w:cs="宋体"/>
                <w:b/>
                <w:bCs/>
                <w:color w:val="FFFFFF"/>
                <w:kern w:val="0"/>
                <w:sz w:val="20"/>
                <w:szCs w:val="20"/>
              </w:rPr>
              <w:t>自主</w:t>
            </w:r>
            <w:r>
              <w:rPr>
                <w:rFonts w:hint="eastAsia" w:ascii="宋体" w:hAnsi="宋体" w:cs="宋体"/>
                <w:b/>
                <w:bCs/>
                <w:color w:val="FFFFFF"/>
                <w:kern w:val="0"/>
                <w:sz w:val="20"/>
                <w:szCs w:val="20"/>
              </w:rPr>
              <w:br w:type="textWrapping"/>
            </w:r>
            <w:r>
              <w:rPr>
                <w:rFonts w:hint="eastAsia" w:ascii="宋体" w:hAnsi="宋体" w:cs="宋体"/>
                <w:b/>
                <w:bCs/>
                <w:color w:val="FFFFFF"/>
                <w:kern w:val="0"/>
                <w:sz w:val="20"/>
                <w:szCs w:val="20"/>
              </w:rPr>
              <w:t>创业</w:t>
            </w:r>
          </w:p>
        </w:tc>
        <w:tc>
          <w:tcPr>
            <w:tcW w:w="851" w:type="dxa"/>
            <w:tcBorders>
              <w:top w:val="nil"/>
              <w:left w:val="nil"/>
              <w:bottom w:val="nil"/>
              <w:right w:val="single" w:color="FFFFFF" w:sz="12" w:space="0"/>
            </w:tcBorders>
            <w:shd w:val="clear" w:color="000000" w:fill="2350A0"/>
            <w:noWrap w:val="0"/>
            <w:vAlign w:val="center"/>
          </w:tcPr>
          <w:p>
            <w:pPr>
              <w:widowControl/>
              <w:spacing w:line="320" w:lineRule="exact"/>
              <w:jc w:val="center"/>
              <w:rPr>
                <w:rFonts w:hint="eastAsia" w:ascii="宋体" w:hAnsi="宋体" w:cs="宋体"/>
                <w:b/>
                <w:bCs/>
                <w:color w:val="FFFFFF"/>
                <w:kern w:val="0"/>
                <w:sz w:val="20"/>
                <w:szCs w:val="20"/>
              </w:rPr>
            </w:pPr>
            <w:r>
              <w:rPr>
                <w:rFonts w:hint="eastAsia" w:ascii="宋体" w:hAnsi="宋体" w:cs="宋体"/>
                <w:b/>
                <w:bCs/>
                <w:color w:val="FFFFFF"/>
                <w:kern w:val="0"/>
                <w:sz w:val="20"/>
                <w:szCs w:val="20"/>
              </w:rPr>
              <w:t>不就业</w:t>
            </w:r>
            <w:r>
              <w:rPr>
                <w:rFonts w:hint="eastAsia" w:ascii="宋体" w:hAnsi="宋体" w:cs="宋体"/>
                <w:b/>
                <w:bCs/>
                <w:color w:val="FFFFFF"/>
                <w:kern w:val="0"/>
                <w:sz w:val="20"/>
                <w:szCs w:val="20"/>
              </w:rPr>
              <w:br w:type="textWrapping"/>
            </w:r>
            <w:r>
              <w:rPr>
                <w:rFonts w:hint="eastAsia" w:ascii="宋体" w:hAnsi="宋体" w:cs="宋体"/>
                <w:b/>
                <w:bCs/>
                <w:color w:val="FFFFFF"/>
                <w:kern w:val="0"/>
                <w:sz w:val="20"/>
                <w:szCs w:val="20"/>
              </w:rPr>
              <w:t>拟升学</w:t>
            </w:r>
          </w:p>
        </w:tc>
        <w:tc>
          <w:tcPr>
            <w:tcW w:w="709" w:type="dxa"/>
            <w:tcBorders>
              <w:top w:val="nil"/>
              <w:left w:val="nil"/>
              <w:bottom w:val="nil"/>
              <w:right w:val="single" w:color="FFFFFF" w:sz="12" w:space="0"/>
            </w:tcBorders>
            <w:shd w:val="clear" w:color="000000" w:fill="2350A0"/>
            <w:noWrap/>
            <w:vAlign w:val="center"/>
          </w:tcPr>
          <w:p>
            <w:pPr>
              <w:widowControl/>
              <w:spacing w:line="320" w:lineRule="exact"/>
              <w:jc w:val="center"/>
              <w:rPr>
                <w:rFonts w:hint="eastAsia" w:ascii="宋体" w:hAnsi="宋体" w:cs="宋体"/>
                <w:b/>
                <w:bCs/>
                <w:color w:val="FFFFFF"/>
                <w:kern w:val="0"/>
                <w:sz w:val="20"/>
                <w:szCs w:val="20"/>
              </w:rPr>
            </w:pPr>
            <w:r>
              <w:rPr>
                <w:rFonts w:hint="eastAsia" w:ascii="宋体" w:hAnsi="宋体" w:cs="宋体"/>
                <w:b/>
                <w:bCs/>
                <w:color w:val="FFFFFF"/>
                <w:kern w:val="0"/>
                <w:sz w:val="20"/>
                <w:szCs w:val="20"/>
              </w:rPr>
              <w:t>待就业</w:t>
            </w:r>
          </w:p>
        </w:tc>
      </w:tr>
      <w:tr>
        <w:tblPrEx>
          <w:tblCellMar>
            <w:top w:w="0" w:type="dxa"/>
            <w:left w:w="108" w:type="dxa"/>
            <w:bottom w:w="0" w:type="dxa"/>
            <w:right w:w="108" w:type="dxa"/>
          </w:tblCellMar>
        </w:tblPrEx>
        <w:trPr>
          <w:trHeight w:val="270" w:hRule="atLeast"/>
        </w:trPr>
        <w:tc>
          <w:tcPr>
            <w:tcW w:w="860" w:type="dxa"/>
            <w:tcBorders>
              <w:top w:val="nil"/>
              <w:left w:val="nil"/>
              <w:bottom w:val="nil"/>
              <w:right w:val="nil"/>
            </w:tcBorders>
            <w:shd w:val="clear" w:color="000000" w:fill="FFFFFF"/>
            <w:noWrap/>
            <w:vAlign w:val="center"/>
          </w:tcPr>
          <w:p>
            <w:pPr>
              <w:widowControl/>
              <w:spacing w:line="320" w:lineRule="exact"/>
              <w:jc w:val="left"/>
              <w:rPr>
                <w:rFonts w:hint="eastAsia" w:ascii="宋体" w:hAnsi="宋体" w:cs="宋体"/>
                <w:color w:val="000000"/>
                <w:kern w:val="0"/>
                <w:sz w:val="20"/>
                <w:szCs w:val="20"/>
              </w:rPr>
            </w:pPr>
            <w:r>
              <w:rPr>
                <w:rFonts w:hint="eastAsia" w:ascii="宋体" w:hAnsi="宋体" w:cs="宋体"/>
                <w:color w:val="000000"/>
                <w:kern w:val="0"/>
                <w:sz w:val="20"/>
                <w:szCs w:val="20"/>
              </w:rPr>
              <w:t>旅游系</w:t>
            </w:r>
          </w:p>
        </w:tc>
        <w:tc>
          <w:tcPr>
            <w:tcW w:w="866" w:type="dxa"/>
            <w:tcBorders>
              <w:top w:val="nil"/>
              <w:left w:val="nil"/>
              <w:bottom w:val="nil"/>
              <w:right w:val="nil"/>
            </w:tcBorders>
            <w:shd w:val="clear" w:color="000000" w:fill="FFFFFF"/>
            <w:noWrap/>
            <w:vAlign w:val="center"/>
          </w:tcPr>
          <w:p>
            <w:pPr>
              <w:widowControl/>
              <w:spacing w:line="320" w:lineRule="exact"/>
              <w:jc w:val="center"/>
              <w:rPr>
                <w:rFonts w:ascii="Calibri" w:hAnsi="Calibri" w:cs="宋体"/>
                <w:color w:val="000000"/>
                <w:kern w:val="0"/>
                <w:sz w:val="20"/>
                <w:szCs w:val="20"/>
              </w:rPr>
            </w:pPr>
            <w:r>
              <w:rPr>
                <w:rFonts w:ascii="Calibri" w:hAnsi="Calibri" w:cs="宋体"/>
                <w:color w:val="000000"/>
                <w:kern w:val="0"/>
                <w:sz w:val="20"/>
                <w:szCs w:val="20"/>
              </w:rPr>
              <w:t>64.0</w:t>
            </w:r>
          </w:p>
        </w:tc>
        <w:tc>
          <w:tcPr>
            <w:tcW w:w="850" w:type="dxa"/>
            <w:tcBorders>
              <w:top w:val="nil"/>
              <w:left w:val="nil"/>
              <w:bottom w:val="nil"/>
              <w:right w:val="nil"/>
            </w:tcBorders>
            <w:shd w:val="clear" w:color="000000" w:fill="FFFFFF"/>
            <w:noWrap/>
            <w:vAlign w:val="center"/>
          </w:tcPr>
          <w:p>
            <w:pPr>
              <w:widowControl/>
              <w:spacing w:line="320" w:lineRule="exact"/>
              <w:jc w:val="center"/>
              <w:rPr>
                <w:rFonts w:ascii="Calibri" w:hAnsi="Calibri" w:cs="宋体"/>
                <w:color w:val="000000"/>
                <w:kern w:val="0"/>
                <w:sz w:val="20"/>
                <w:szCs w:val="20"/>
              </w:rPr>
            </w:pPr>
            <w:r>
              <w:rPr>
                <w:rFonts w:ascii="Calibri" w:hAnsi="Calibri" w:cs="宋体"/>
                <w:color w:val="000000"/>
                <w:kern w:val="0"/>
                <w:sz w:val="20"/>
                <w:szCs w:val="20"/>
              </w:rPr>
              <w:t>17.0</w:t>
            </w:r>
          </w:p>
        </w:tc>
        <w:tc>
          <w:tcPr>
            <w:tcW w:w="851" w:type="dxa"/>
            <w:tcBorders>
              <w:top w:val="nil"/>
              <w:left w:val="nil"/>
              <w:bottom w:val="nil"/>
              <w:right w:val="nil"/>
            </w:tcBorders>
            <w:shd w:val="clear" w:color="000000" w:fill="FFFFFF"/>
            <w:noWrap/>
            <w:vAlign w:val="center"/>
          </w:tcPr>
          <w:p>
            <w:pPr>
              <w:widowControl/>
              <w:spacing w:line="320" w:lineRule="exact"/>
              <w:jc w:val="center"/>
              <w:rPr>
                <w:rFonts w:ascii="Calibri" w:hAnsi="Calibri" w:cs="宋体"/>
                <w:color w:val="000000"/>
                <w:kern w:val="0"/>
                <w:sz w:val="20"/>
                <w:szCs w:val="20"/>
              </w:rPr>
            </w:pPr>
            <w:r>
              <w:rPr>
                <w:rFonts w:ascii="Calibri" w:hAnsi="Calibri" w:cs="宋体"/>
                <w:color w:val="000000"/>
                <w:kern w:val="0"/>
                <w:sz w:val="20"/>
                <w:szCs w:val="20"/>
              </w:rPr>
              <w:t>6.4</w:t>
            </w:r>
          </w:p>
        </w:tc>
        <w:tc>
          <w:tcPr>
            <w:tcW w:w="709" w:type="dxa"/>
            <w:tcBorders>
              <w:top w:val="nil"/>
              <w:left w:val="nil"/>
              <w:bottom w:val="nil"/>
              <w:right w:val="nil"/>
            </w:tcBorders>
            <w:shd w:val="clear" w:color="000000" w:fill="FFFFFF"/>
            <w:noWrap/>
            <w:vAlign w:val="center"/>
          </w:tcPr>
          <w:p>
            <w:pPr>
              <w:widowControl/>
              <w:spacing w:line="320" w:lineRule="exact"/>
              <w:jc w:val="center"/>
              <w:rPr>
                <w:rFonts w:ascii="Calibri" w:hAnsi="Calibri" w:cs="宋体"/>
                <w:color w:val="000000"/>
                <w:kern w:val="0"/>
                <w:sz w:val="20"/>
                <w:szCs w:val="20"/>
              </w:rPr>
            </w:pPr>
            <w:r>
              <w:rPr>
                <w:rFonts w:ascii="Calibri" w:hAnsi="Calibri" w:cs="宋体"/>
                <w:color w:val="000000"/>
                <w:kern w:val="0"/>
                <w:sz w:val="20"/>
                <w:szCs w:val="20"/>
              </w:rPr>
              <w:t>2.4</w:t>
            </w:r>
          </w:p>
        </w:tc>
        <w:tc>
          <w:tcPr>
            <w:tcW w:w="850" w:type="dxa"/>
            <w:tcBorders>
              <w:top w:val="nil"/>
              <w:left w:val="nil"/>
              <w:bottom w:val="nil"/>
              <w:right w:val="nil"/>
            </w:tcBorders>
            <w:shd w:val="clear" w:color="000000" w:fill="FFFFFF"/>
            <w:noWrap/>
            <w:vAlign w:val="center"/>
          </w:tcPr>
          <w:p>
            <w:pPr>
              <w:widowControl/>
              <w:spacing w:line="320" w:lineRule="exact"/>
              <w:jc w:val="center"/>
              <w:rPr>
                <w:rFonts w:ascii="Calibri" w:hAnsi="Calibri" w:cs="宋体"/>
                <w:color w:val="000000"/>
                <w:kern w:val="0"/>
                <w:sz w:val="20"/>
                <w:szCs w:val="20"/>
              </w:rPr>
            </w:pPr>
            <w:r>
              <w:rPr>
                <w:rFonts w:ascii="Calibri" w:hAnsi="Calibri" w:cs="宋体"/>
                <w:color w:val="000000"/>
                <w:kern w:val="0"/>
                <w:sz w:val="20"/>
                <w:szCs w:val="20"/>
              </w:rPr>
              <w:t>0.1</w:t>
            </w:r>
          </w:p>
        </w:tc>
        <w:tc>
          <w:tcPr>
            <w:tcW w:w="709" w:type="dxa"/>
            <w:tcBorders>
              <w:top w:val="nil"/>
              <w:left w:val="nil"/>
              <w:bottom w:val="nil"/>
              <w:right w:val="nil"/>
            </w:tcBorders>
            <w:shd w:val="clear" w:color="000000" w:fill="FFFFFF"/>
            <w:noWrap/>
            <w:vAlign w:val="center"/>
          </w:tcPr>
          <w:p>
            <w:pPr>
              <w:widowControl/>
              <w:spacing w:line="320" w:lineRule="exact"/>
              <w:jc w:val="center"/>
              <w:rPr>
                <w:rFonts w:ascii="Calibri" w:hAnsi="Calibri" w:cs="宋体"/>
                <w:color w:val="000000"/>
                <w:kern w:val="0"/>
                <w:sz w:val="20"/>
                <w:szCs w:val="20"/>
              </w:rPr>
            </w:pPr>
            <w:r>
              <w:rPr>
                <w:rFonts w:ascii="Calibri" w:hAnsi="Calibri" w:cs="宋体"/>
                <w:color w:val="000000"/>
                <w:kern w:val="0"/>
                <w:sz w:val="20"/>
                <w:szCs w:val="20"/>
              </w:rPr>
              <w:t>0.7</w:t>
            </w:r>
          </w:p>
        </w:tc>
        <w:tc>
          <w:tcPr>
            <w:tcW w:w="709" w:type="dxa"/>
            <w:tcBorders>
              <w:top w:val="nil"/>
              <w:left w:val="nil"/>
              <w:bottom w:val="nil"/>
              <w:right w:val="nil"/>
            </w:tcBorders>
            <w:shd w:val="clear" w:color="000000" w:fill="FFFFFF"/>
            <w:noWrap/>
            <w:vAlign w:val="center"/>
          </w:tcPr>
          <w:p>
            <w:pPr>
              <w:widowControl/>
              <w:spacing w:line="320" w:lineRule="exact"/>
              <w:jc w:val="center"/>
              <w:rPr>
                <w:rFonts w:ascii="Calibri" w:hAnsi="Calibri" w:cs="宋体"/>
                <w:color w:val="000000"/>
                <w:kern w:val="0"/>
                <w:sz w:val="20"/>
                <w:szCs w:val="20"/>
              </w:rPr>
            </w:pPr>
            <w:r>
              <w:rPr>
                <w:rFonts w:ascii="Calibri" w:hAnsi="Calibri" w:cs="宋体"/>
                <w:color w:val="000000"/>
                <w:kern w:val="0"/>
                <w:sz w:val="20"/>
                <w:szCs w:val="20"/>
              </w:rPr>
              <w:t>0.4</w:t>
            </w:r>
          </w:p>
        </w:tc>
        <w:tc>
          <w:tcPr>
            <w:tcW w:w="708" w:type="dxa"/>
            <w:tcBorders>
              <w:top w:val="nil"/>
              <w:left w:val="nil"/>
              <w:bottom w:val="nil"/>
              <w:right w:val="nil"/>
            </w:tcBorders>
            <w:shd w:val="clear" w:color="000000" w:fill="FFFFFF"/>
            <w:noWrap/>
            <w:vAlign w:val="center"/>
          </w:tcPr>
          <w:p>
            <w:pPr>
              <w:widowControl/>
              <w:spacing w:line="320" w:lineRule="exact"/>
              <w:jc w:val="center"/>
              <w:rPr>
                <w:rFonts w:ascii="Calibri" w:hAnsi="Calibri" w:cs="宋体"/>
                <w:color w:val="000000"/>
                <w:kern w:val="0"/>
                <w:sz w:val="20"/>
                <w:szCs w:val="20"/>
              </w:rPr>
            </w:pPr>
            <w:r>
              <w:rPr>
                <w:rFonts w:ascii="Calibri" w:hAnsi="Calibri" w:cs="宋体"/>
                <w:color w:val="000000"/>
                <w:kern w:val="0"/>
                <w:sz w:val="20"/>
                <w:szCs w:val="20"/>
              </w:rPr>
              <w:t>0.4</w:t>
            </w:r>
          </w:p>
        </w:tc>
        <w:tc>
          <w:tcPr>
            <w:tcW w:w="851" w:type="dxa"/>
            <w:tcBorders>
              <w:top w:val="nil"/>
              <w:left w:val="nil"/>
              <w:bottom w:val="nil"/>
              <w:right w:val="nil"/>
            </w:tcBorders>
            <w:shd w:val="clear" w:color="000000" w:fill="FFFFFF"/>
            <w:noWrap/>
            <w:vAlign w:val="center"/>
          </w:tcPr>
          <w:p>
            <w:pPr>
              <w:widowControl/>
              <w:spacing w:line="320" w:lineRule="exact"/>
              <w:jc w:val="center"/>
              <w:rPr>
                <w:rFonts w:ascii="Calibri" w:hAnsi="Calibri" w:cs="宋体"/>
                <w:color w:val="000000"/>
                <w:kern w:val="0"/>
                <w:sz w:val="20"/>
                <w:szCs w:val="20"/>
              </w:rPr>
            </w:pPr>
            <w:r>
              <w:rPr>
                <w:rFonts w:ascii="Calibri" w:hAnsi="Calibri" w:cs="宋体"/>
                <w:color w:val="000000"/>
                <w:kern w:val="0"/>
                <w:sz w:val="20"/>
                <w:szCs w:val="20"/>
              </w:rPr>
              <w:t>0.1</w:t>
            </w:r>
          </w:p>
        </w:tc>
        <w:tc>
          <w:tcPr>
            <w:tcW w:w="709" w:type="dxa"/>
            <w:tcBorders>
              <w:top w:val="nil"/>
              <w:left w:val="nil"/>
              <w:bottom w:val="nil"/>
              <w:right w:val="nil"/>
            </w:tcBorders>
            <w:shd w:val="clear" w:color="000000" w:fill="FFFFFF"/>
            <w:noWrap/>
            <w:vAlign w:val="center"/>
          </w:tcPr>
          <w:p>
            <w:pPr>
              <w:widowControl/>
              <w:spacing w:line="320" w:lineRule="exact"/>
              <w:jc w:val="center"/>
              <w:rPr>
                <w:rFonts w:ascii="Calibri" w:hAnsi="Calibri" w:cs="宋体"/>
                <w:color w:val="000000"/>
                <w:kern w:val="0"/>
                <w:sz w:val="20"/>
                <w:szCs w:val="20"/>
              </w:rPr>
            </w:pPr>
            <w:r>
              <w:rPr>
                <w:rFonts w:ascii="Calibri" w:hAnsi="Calibri" w:cs="宋体"/>
                <w:color w:val="000000"/>
                <w:kern w:val="0"/>
                <w:sz w:val="20"/>
                <w:szCs w:val="20"/>
              </w:rPr>
              <w:t>8.4</w:t>
            </w:r>
          </w:p>
        </w:tc>
      </w:tr>
      <w:tr>
        <w:tblPrEx>
          <w:tblCellMar>
            <w:top w:w="0" w:type="dxa"/>
            <w:left w:w="108" w:type="dxa"/>
            <w:bottom w:w="0" w:type="dxa"/>
            <w:right w:w="108" w:type="dxa"/>
          </w:tblCellMar>
        </w:tblPrEx>
        <w:trPr>
          <w:trHeight w:val="270" w:hRule="atLeast"/>
        </w:trPr>
        <w:tc>
          <w:tcPr>
            <w:tcW w:w="860" w:type="dxa"/>
            <w:tcBorders>
              <w:top w:val="nil"/>
              <w:left w:val="nil"/>
              <w:bottom w:val="nil"/>
              <w:right w:val="nil"/>
            </w:tcBorders>
            <w:shd w:val="clear" w:color="000000" w:fill="BEEDF8"/>
            <w:noWrap/>
            <w:vAlign w:val="center"/>
          </w:tcPr>
          <w:p>
            <w:pPr>
              <w:widowControl/>
              <w:spacing w:line="320" w:lineRule="exact"/>
              <w:jc w:val="left"/>
              <w:rPr>
                <w:rFonts w:hint="eastAsia" w:ascii="宋体" w:hAnsi="宋体" w:cs="宋体"/>
                <w:color w:val="000000"/>
                <w:kern w:val="0"/>
                <w:sz w:val="20"/>
                <w:szCs w:val="20"/>
              </w:rPr>
            </w:pPr>
            <w:r>
              <w:rPr>
                <w:rFonts w:hint="eastAsia" w:ascii="宋体" w:hAnsi="宋体" w:cs="宋体"/>
                <w:color w:val="000000"/>
                <w:kern w:val="0"/>
                <w:sz w:val="20"/>
                <w:szCs w:val="20"/>
              </w:rPr>
              <w:t>英语系</w:t>
            </w:r>
          </w:p>
        </w:tc>
        <w:tc>
          <w:tcPr>
            <w:tcW w:w="866" w:type="dxa"/>
            <w:tcBorders>
              <w:top w:val="nil"/>
              <w:left w:val="nil"/>
              <w:bottom w:val="nil"/>
              <w:right w:val="nil"/>
            </w:tcBorders>
            <w:shd w:val="clear" w:color="000000" w:fill="BEEDF8"/>
            <w:noWrap/>
            <w:vAlign w:val="center"/>
          </w:tcPr>
          <w:p>
            <w:pPr>
              <w:widowControl/>
              <w:spacing w:line="320" w:lineRule="exact"/>
              <w:jc w:val="center"/>
              <w:rPr>
                <w:rFonts w:ascii="Calibri" w:hAnsi="Calibri" w:cs="宋体"/>
                <w:color w:val="000000"/>
                <w:kern w:val="0"/>
                <w:sz w:val="20"/>
                <w:szCs w:val="20"/>
              </w:rPr>
            </w:pPr>
            <w:r>
              <w:rPr>
                <w:rFonts w:ascii="Calibri" w:hAnsi="Calibri" w:cs="宋体"/>
                <w:color w:val="000000"/>
                <w:kern w:val="0"/>
                <w:sz w:val="20"/>
                <w:szCs w:val="20"/>
              </w:rPr>
              <w:t>57.3</w:t>
            </w:r>
          </w:p>
        </w:tc>
        <w:tc>
          <w:tcPr>
            <w:tcW w:w="850" w:type="dxa"/>
            <w:tcBorders>
              <w:top w:val="nil"/>
              <w:left w:val="nil"/>
              <w:bottom w:val="nil"/>
              <w:right w:val="nil"/>
            </w:tcBorders>
            <w:shd w:val="clear" w:color="000000" w:fill="BEEDF8"/>
            <w:noWrap/>
            <w:vAlign w:val="center"/>
          </w:tcPr>
          <w:p>
            <w:pPr>
              <w:widowControl/>
              <w:spacing w:line="320" w:lineRule="exact"/>
              <w:jc w:val="center"/>
              <w:rPr>
                <w:rFonts w:ascii="Calibri" w:hAnsi="Calibri" w:cs="宋体"/>
                <w:color w:val="000000"/>
                <w:kern w:val="0"/>
                <w:sz w:val="20"/>
                <w:szCs w:val="20"/>
              </w:rPr>
            </w:pPr>
            <w:r>
              <w:rPr>
                <w:rFonts w:ascii="Calibri" w:hAnsi="Calibri" w:cs="宋体"/>
                <w:color w:val="000000"/>
                <w:kern w:val="0"/>
                <w:sz w:val="20"/>
                <w:szCs w:val="20"/>
              </w:rPr>
              <w:t>9.8</w:t>
            </w:r>
          </w:p>
        </w:tc>
        <w:tc>
          <w:tcPr>
            <w:tcW w:w="851" w:type="dxa"/>
            <w:tcBorders>
              <w:top w:val="nil"/>
              <w:left w:val="nil"/>
              <w:bottom w:val="nil"/>
              <w:right w:val="nil"/>
            </w:tcBorders>
            <w:shd w:val="clear" w:color="000000" w:fill="BEEDF8"/>
            <w:noWrap/>
            <w:vAlign w:val="center"/>
          </w:tcPr>
          <w:p>
            <w:pPr>
              <w:widowControl/>
              <w:spacing w:line="320" w:lineRule="exact"/>
              <w:jc w:val="center"/>
              <w:rPr>
                <w:rFonts w:ascii="Calibri" w:hAnsi="Calibri" w:cs="宋体"/>
                <w:color w:val="000000"/>
                <w:kern w:val="0"/>
                <w:sz w:val="20"/>
                <w:szCs w:val="20"/>
              </w:rPr>
            </w:pPr>
            <w:r>
              <w:rPr>
                <w:rFonts w:ascii="Calibri" w:hAnsi="Calibri" w:cs="宋体"/>
                <w:color w:val="000000"/>
                <w:kern w:val="0"/>
                <w:sz w:val="20"/>
                <w:szCs w:val="20"/>
              </w:rPr>
              <w:t>0.0</w:t>
            </w:r>
          </w:p>
        </w:tc>
        <w:tc>
          <w:tcPr>
            <w:tcW w:w="709" w:type="dxa"/>
            <w:tcBorders>
              <w:top w:val="nil"/>
              <w:left w:val="nil"/>
              <w:bottom w:val="nil"/>
              <w:right w:val="nil"/>
            </w:tcBorders>
            <w:shd w:val="clear" w:color="000000" w:fill="BEEDF8"/>
            <w:noWrap/>
            <w:vAlign w:val="center"/>
          </w:tcPr>
          <w:p>
            <w:pPr>
              <w:widowControl/>
              <w:spacing w:line="320" w:lineRule="exact"/>
              <w:jc w:val="center"/>
              <w:rPr>
                <w:rFonts w:ascii="Calibri" w:hAnsi="Calibri" w:cs="宋体"/>
                <w:color w:val="000000"/>
                <w:kern w:val="0"/>
                <w:sz w:val="20"/>
                <w:szCs w:val="20"/>
              </w:rPr>
            </w:pPr>
            <w:r>
              <w:rPr>
                <w:rFonts w:ascii="Calibri" w:hAnsi="Calibri" w:cs="宋体"/>
                <w:color w:val="000000"/>
                <w:kern w:val="0"/>
                <w:sz w:val="20"/>
                <w:szCs w:val="20"/>
              </w:rPr>
              <w:t>18.5</w:t>
            </w:r>
          </w:p>
        </w:tc>
        <w:tc>
          <w:tcPr>
            <w:tcW w:w="850" w:type="dxa"/>
            <w:tcBorders>
              <w:top w:val="nil"/>
              <w:left w:val="nil"/>
              <w:bottom w:val="nil"/>
              <w:right w:val="nil"/>
            </w:tcBorders>
            <w:shd w:val="clear" w:color="000000" w:fill="BEEDF8"/>
            <w:noWrap/>
            <w:vAlign w:val="center"/>
          </w:tcPr>
          <w:p>
            <w:pPr>
              <w:widowControl/>
              <w:spacing w:line="320" w:lineRule="exact"/>
              <w:jc w:val="center"/>
              <w:rPr>
                <w:rFonts w:ascii="Calibri" w:hAnsi="Calibri" w:cs="宋体"/>
                <w:color w:val="000000"/>
                <w:kern w:val="0"/>
                <w:sz w:val="20"/>
                <w:szCs w:val="20"/>
              </w:rPr>
            </w:pPr>
            <w:r>
              <w:rPr>
                <w:rFonts w:ascii="Calibri" w:hAnsi="Calibri" w:cs="宋体"/>
                <w:color w:val="000000"/>
                <w:kern w:val="0"/>
                <w:sz w:val="20"/>
                <w:szCs w:val="20"/>
              </w:rPr>
              <w:t>2.1</w:t>
            </w:r>
          </w:p>
        </w:tc>
        <w:tc>
          <w:tcPr>
            <w:tcW w:w="709" w:type="dxa"/>
            <w:tcBorders>
              <w:top w:val="nil"/>
              <w:left w:val="nil"/>
              <w:bottom w:val="nil"/>
              <w:right w:val="nil"/>
            </w:tcBorders>
            <w:shd w:val="clear" w:color="000000" w:fill="BEEDF8"/>
            <w:noWrap/>
            <w:vAlign w:val="center"/>
          </w:tcPr>
          <w:p>
            <w:pPr>
              <w:widowControl/>
              <w:spacing w:line="320" w:lineRule="exact"/>
              <w:jc w:val="center"/>
              <w:rPr>
                <w:rFonts w:ascii="Calibri" w:hAnsi="Calibri" w:cs="宋体"/>
                <w:color w:val="000000"/>
                <w:kern w:val="0"/>
                <w:sz w:val="20"/>
                <w:szCs w:val="20"/>
              </w:rPr>
            </w:pPr>
            <w:r>
              <w:rPr>
                <w:rFonts w:ascii="Calibri" w:hAnsi="Calibri" w:cs="宋体"/>
                <w:color w:val="000000"/>
                <w:kern w:val="0"/>
                <w:sz w:val="20"/>
                <w:szCs w:val="20"/>
              </w:rPr>
              <w:t>0.3</w:t>
            </w:r>
          </w:p>
        </w:tc>
        <w:tc>
          <w:tcPr>
            <w:tcW w:w="709" w:type="dxa"/>
            <w:tcBorders>
              <w:top w:val="nil"/>
              <w:left w:val="nil"/>
              <w:bottom w:val="nil"/>
              <w:right w:val="nil"/>
            </w:tcBorders>
            <w:shd w:val="clear" w:color="000000" w:fill="BEEDF8"/>
            <w:noWrap/>
            <w:vAlign w:val="center"/>
          </w:tcPr>
          <w:p>
            <w:pPr>
              <w:widowControl/>
              <w:spacing w:line="320" w:lineRule="exact"/>
              <w:jc w:val="center"/>
              <w:rPr>
                <w:rFonts w:ascii="Calibri" w:hAnsi="Calibri" w:cs="宋体"/>
                <w:color w:val="000000"/>
                <w:kern w:val="0"/>
                <w:sz w:val="20"/>
                <w:szCs w:val="20"/>
              </w:rPr>
            </w:pPr>
            <w:r>
              <w:rPr>
                <w:rFonts w:ascii="Calibri" w:hAnsi="Calibri" w:cs="宋体"/>
                <w:color w:val="000000"/>
                <w:kern w:val="0"/>
                <w:sz w:val="20"/>
                <w:szCs w:val="20"/>
              </w:rPr>
              <w:t>2.4</w:t>
            </w:r>
          </w:p>
        </w:tc>
        <w:tc>
          <w:tcPr>
            <w:tcW w:w="708" w:type="dxa"/>
            <w:tcBorders>
              <w:top w:val="nil"/>
              <w:left w:val="nil"/>
              <w:bottom w:val="nil"/>
              <w:right w:val="nil"/>
            </w:tcBorders>
            <w:shd w:val="clear" w:color="000000" w:fill="BEEDF8"/>
            <w:noWrap/>
            <w:vAlign w:val="center"/>
          </w:tcPr>
          <w:p>
            <w:pPr>
              <w:widowControl/>
              <w:spacing w:line="320" w:lineRule="exact"/>
              <w:jc w:val="center"/>
              <w:rPr>
                <w:rFonts w:ascii="Calibri" w:hAnsi="Calibri" w:cs="宋体"/>
                <w:color w:val="000000"/>
                <w:kern w:val="0"/>
                <w:sz w:val="20"/>
                <w:szCs w:val="20"/>
              </w:rPr>
            </w:pPr>
            <w:r>
              <w:rPr>
                <w:rFonts w:ascii="Calibri" w:hAnsi="Calibri" w:cs="宋体"/>
                <w:color w:val="000000"/>
                <w:kern w:val="0"/>
                <w:sz w:val="20"/>
                <w:szCs w:val="20"/>
              </w:rPr>
              <w:t>0.0</w:t>
            </w:r>
          </w:p>
        </w:tc>
        <w:tc>
          <w:tcPr>
            <w:tcW w:w="851" w:type="dxa"/>
            <w:tcBorders>
              <w:top w:val="nil"/>
              <w:left w:val="nil"/>
              <w:bottom w:val="nil"/>
              <w:right w:val="nil"/>
            </w:tcBorders>
            <w:shd w:val="clear" w:color="000000" w:fill="BEEDF8"/>
            <w:noWrap/>
            <w:vAlign w:val="center"/>
          </w:tcPr>
          <w:p>
            <w:pPr>
              <w:widowControl/>
              <w:spacing w:line="320" w:lineRule="exact"/>
              <w:jc w:val="center"/>
              <w:rPr>
                <w:rFonts w:ascii="Calibri" w:hAnsi="Calibri" w:cs="宋体"/>
                <w:color w:val="000000"/>
                <w:kern w:val="0"/>
                <w:sz w:val="20"/>
                <w:szCs w:val="20"/>
              </w:rPr>
            </w:pPr>
            <w:r>
              <w:rPr>
                <w:rFonts w:ascii="Calibri" w:hAnsi="Calibri" w:cs="宋体"/>
                <w:color w:val="000000"/>
                <w:kern w:val="0"/>
                <w:sz w:val="20"/>
                <w:szCs w:val="20"/>
              </w:rPr>
              <w:t>0.0</w:t>
            </w:r>
          </w:p>
        </w:tc>
        <w:tc>
          <w:tcPr>
            <w:tcW w:w="709" w:type="dxa"/>
            <w:tcBorders>
              <w:top w:val="nil"/>
              <w:left w:val="nil"/>
              <w:bottom w:val="nil"/>
              <w:right w:val="nil"/>
            </w:tcBorders>
            <w:shd w:val="clear" w:color="000000" w:fill="BEEDF8"/>
            <w:noWrap/>
            <w:vAlign w:val="center"/>
          </w:tcPr>
          <w:p>
            <w:pPr>
              <w:widowControl/>
              <w:spacing w:line="320" w:lineRule="exact"/>
              <w:jc w:val="center"/>
              <w:rPr>
                <w:rFonts w:ascii="Calibri" w:hAnsi="Calibri" w:cs="宋体"/>
                <w:color w:val="000000"/>
                <w:kern w:val="0"/>
                <w:sz w:val="20"/>
                <w:szCs w:val="20"/>
              </w:rPr>
            </w:pPr>
            <w:r>
              <w:rPr>
                <w:rFonts w:ascii="Calibri" w:hAnsi="Calibri" w:cs="宋体"/>
                <w:color w:val="000000"/>
                <w:kern w:val="0"/>
                <w:sz w:val="20"/>
                <w:szCs w:val="20"/>
              </w:rPr>
              <w:t>9.4</w:t>
            </w:r>
          </w:p>
        </w:tc>
      </w:tr>
      <w:tr>
        <w:tblPrEx>
          <w:tblCellMar>
            <w:top w:w="0" w:type="dxa"/>
            <w:left w:w="108" w:type="dxa"/>
            <w:bottom w:w="0" w:type="dxa"/>
            <w:right w:w="108" w:type="dxa"/>
          </w:tblCellMar>
        </w:tblPrEx>
        <w:trPr>
          <w:trHeight w:val="270" w:hRule="atLeast"/>
        </w:trPr>
        <w:tc>
          <w:tcPr>
            <w:tcW w:w="860" w:type="dxa"/>
            <w:tcBorders>
              <w:top w:val="nil"/>
              <w:left w:val="nil"/>
              <w:right w:val="nil"/>
            </w:tcBorders>
            <w:shd w:val="clear" w:color="000000" w:fill="FFFFFF"/>
            <w:noWrap/>
            <w:vAlign w:val="center"/>
          </w:tcPr>
          <w:p>
            <w:pPr>
              <w:widowControl/>
              <w:spacing w:line="320" w:lineRule="exact"/>
              <w:jc w:val="left"/>
              <w:rPr>
                <w:rFonts w:hint="eastAsia" w:ascii="宋体" w:hAnsi="宋体" w:cs="宋体"/>
                <w:color w:val="000000"/>
                <w:kern w:val="0"/>
                <w:sz w:val="20"/>
                <w:szCs w:val="20"/>
              </w:rPr>
            </w:pPr>
            <w:r>
              <w:rPr>
                <w:rFonts w:hint="eastAsia" w:ascii="宋体" w:hAnsi="宋体" w:cs="宋体"/>
                <w:color w:val="000000"/>
                <w:kern w:val="0"/>
                <w:sz w:val="20"/>
                <w:szCs w:val="20"/>
              </w:rPr>
              <w:t>国际商务系</w:t>
            </w:r>
          </w:p>
        </w:tc>
        <w:tc>
          <w:tcPr>
            <w:tcW w:w="866" w:type="dxa"/>
            <w:tcBorders>
              <w:top w:val="nil"/>
              <w:left w:val="nil"/>
              <w:right w:val="nil"/>
            </w:tcBorders>
            <w:shd w:val="clear" w:color="000000" w:fill="FFFFFF"/>
            <w:noWrap/>
            <w:vAlign w:val="center"/>
          </w:tcPr>
          <w:p>
            <w:pPr>
              <w:widowControl/>
              <w:spacing w:line="320" w:lineRule="exact"/>
              <w:jc w:val="center"/>
              <w:rPr>
                <w:rFonts w:ascii="Calibri" w:hAnsi="Calibri" w:cs="宋体"/>
                <w:color w:val="000000"/>
                <w:kern w:val="0"/>
                <w:sz w:val="20"/>
                <w:szCs w:val="20"/>
              </w:rPr>
            </w:pPr>
            <w:r>
              <w:rPr>
                <w:rFonts w:ascii="Calibri" w:hAnsi="Calibri" w:cs="宋体"/>
                <w:color w:val="000000"/>
                <w:kern w:val="0"/>
                <w:sz w:val="20"/>
                <w:szCs w:val="20"/>
              </w:rPr>
              <w:t>46.2</w:t>
            </w:r>
          </w:p>
        </w:tc>
        <w:tc>
          <w:tcPr>
            <w:tcW w:w="850" w:type="dxa"/>
            <w:tcBorders>
              <w:top w:val="nil"/>
              <w:left w:val="nil"/>
              <w:bottom w:val="nil"/>
              <w:right w:val="nil"/>
            </w:tcBorders>
            <w:shd w:val="clear" w:color="000000" w:fill="FFFFFF"/>
            <w:noWrap/>
            <w:vAlign w:val="center"/>
          </w:tcPr>
          <w:p>
            <w:pPr>
              <w:widowControl/>
              <w:spacing w:line="320" w:lineRule="exact"/>
              <w:jc w:val="center"/>
              <w:rPr>
                <w:rFonts w:ascii="Calibri" w:hAnsi="Calibri" w:cs="宋体"/>
                <w:color w:val="000000"/>
                <w:kern w:val="0"/>
                <w:sz w:val="20"/>
                <w:szCs w:val="20"/>
              </w:rPr>
            </w:pPr>
            <w:r>
              <w:rPr>
                <w:rFonts w:ascii="Calibri" w:hAnsi="Calibri" w:cs="宋体"/>
                <w:color w:val="000000"/>
                <w:kern w:val="0"/>
                <w:sz w:val="20"/>
                <w:szCs w:val="20"/>
              </w:rPr>
              <w:t>5.9</w:t>
            </w:r>
          </w:p>
        </w:tc>
        <w:tc>
          <w:tcPr>
            <w:tcW w:w="851" w:type="dxa"/>
            <w:tcBorders>
              <w:top w:val="nil"/>
              <w:left w:val="nil"/>
              <w:bottom w:val="nil"/>
              <w:right w:val="nil"/>
            </w:tcBorders>
            <w:shd w:val="clear" w:color="000000" w:fill="FFFFFF"/>
            <w:noWrap/>
            <w:vAlign w:val="center"/>
          </w:tcPr>
          <w:p>
            <w:pPr>
              <w:widowControl/>
              <w:spacing w:line="320" w:lineRule="exact"/>
              <w:jc w:val="center"/>
              <w:rPr>
                <w:rFonts w:ascii="Calibri" w:hAnsi="Calibri" w:cs="宋体"/>
                <w:color w:val="000000"/>
                <w:kern w:val="0"/>
                <w:sz w:val="20"/>
                <w:szCs w:val="20"/>
              </w:rPr>
            </w:pPr>
            <w:r>
              <w:rPr>
                <w:rFonts w:ascii="Calibri" w:hAnsi="Calibri" w:cs="宋体"/>
                <w:color w:val="000000"/>
                <w:kern w:val="0"/>
                <w:sz w:val="20"/>
                <w:szCs w:val="20"/>
              </w:rPr>
              <w:t>9.5</w:t>
            </w:r>
          </w:p>
        </w:tc>
        <w:tc>
          <w:tcPr>
            <w:tcW w:w="709" w:type="dxa"/>
            <w:tcBorders>
              <w:top w:val="nil"/>
              <w:left w:val="nil"/>
              <w:bottom w:val="nil"/>
              <w:right w:val="nil"/>
            </w:tcBorders>
            <w:shd w:val="clear" w:color="000000" w:fill="FFFFFF"/>
            <w:noWrap/>
            <w:vAlign w:val="center"/>
          </w:tcPr>
          <w:p>
            <w:pPr>
              <w:widowControl/>
              <w:spacing w:line="320" w:lineRule="exact"/>
              <w:jc w:val="center"/>
              <w:rPr>
                <w:rFonts w:ascii="Calibri" w:hAnsi="Calibri" w:cs="宋体"/>
                <w:color w:val="000000"/>
                <w:kern w:val="0"/>
                <w:sz w:val="20"/>
                <w:szCs w:val="20"/>
              </w:rPr>
            </w:pPr>
            <w:r>
              <w:rPr>
                <w:rFonts w:ascii="Calibri" w:hAnsi="Calibri" w:cs="宋体"/>
                <w:color w:val="000000"/>
                <w:kern w:val="0"/>
                <w:sz w:val="20"/>
                <w:szCs w:val="20"/>
              </w:rPr>
              <w:t>28.4</w:t>
            </w:r>
          </w:p>
        </w:tc>
        <w:tc>
          <w:tcPr>
            <w:tcW w:w="850" w:type="dxa"/>
            <w:tcBorders>
              <w:top w:val="nil"/>
              <w:left w:val="nil"/>
              <w:bottom w:val="nil"/>
              <w:right w:val="nil"/>
            </w:tcBorders>
            <w:shd w:val="clear" w:color="000000" w:fill="FFFFFF"/>
            <w:noWrap/>
            <w:vAlign w:val="center"/>
          </w:tcPr>
          <w:p>
            <w:pPr>
              <w:widowControl/>
              <w:spacing w:line="320" w:lineRule="exact"/>
              <w:jc w:val="center"/>
              <w:rPr>
                <w:rFonts w:ascii="Calibri" w:hAnsi="Calibri" w:cs="宋体"/>
                <w:color w:val="000000"/>
                <w:kern w:val="0"/>
                <w:sz w:val="20"/>
                <w:szCs w:val="20"/>
              </w:rPr>
            </w:pPr>
            <w:r>
              <w:rPr>
                <w:rFonts w:ascii="Calibri" w:hAnsi="Calibri" w:cs="宋体"/>
                <w:color w:val="000000"/>
                <w:kern w:val="0"/>
                <w:sz w:val="20"/>
                <w:szCs w:val="20"/>
              </w:rPr>
              <w:t>0.2</w:t>
            </w:r>
          </w:p>
        </w:tc>
        <w:tc>
          <w:tcPr>
            <w:tcW w:w="709" w:type="dxa"/>
            <w:tcBorders>
              <w:top w:val="nil"/>
              <w:left w:val="nil"/>
              <w:bottom w:val="nil"/>
              <w:right w:val="nil"/>
            </w:tcBorders>
            <w:shd w:val="clear" w:color="000000" w:fill="FFFFFF"/>
            <w:noWrap/>
            <w:vAlign w:val="center"/>
          </w:tcPr>
          <w:p>
            <w:pPr>
              <w:widowControl/>
              <w:spacing w:line="320" w:lineRule="exact"/>
              <w:jc w:val="center"/>
              <w:rPr>
                <w:rFonts w:ascii="Calibri" w:hAnsi="Calibri" w:cs="宋体"/>
                <w:color w:val="000000"/>
                <w:kern w:val="0"/>
                <w:sz w:val="20"/>
                <w:szCs w:val="20"/>
              </w:rPr>
            </w:pPr>
            <w:r>
              <w:rPr>
                <w:rFonts w:ascii="Calibri" w:hAnsi="Calibri" w:cs="宋体"/>
                <w:color w:val="000000"/>
                <w:kern w:val="0"/>
                <w:sz w:val="20"/>
                <w:szCs w:val="20"/>
              </w:rPr>
              <w:t>0.8</w:t>
            </w:r>
          </w:p>
        </w:tc>
        <w:tc>
          <w:tcPr>
            <w:tcW w:w="709" w:type="dxa"/>
            <w:tcBorders>
              <w:top w:val="nil"/>
              <w:left w:val="nil"/>
              <w:bottom w:val="nil"/>
              <w:right w:val="nil"/>
            </w:tcBorders>
            <w:shd w:val="clear" w:color="000000" w:fill="FFFFFF"/>
            <w:noWrap/>
            <w:vAlign w:val="center"/>
          </w:tcPr>
          <w:p>
            <w:pPr>
              <w:widowControl/>
              <w:spacing w:line="320" w:lineRule="exact"/>
              <w:jc w:val="center"/>
              <w:rPr>
                <w:rFonts w:ascii="Calibri" w:hAnsi="Calibri" w:cs="宋体"/>
                <w:color w:val="000000"/>
                <w:kern w:val="0"/>
                <w:sz w:val="20"/>
                <w:szCs w:val="20"/>
              </w:rPr>
            </w:pPr>
            <w:r>
              <w:rPr>
                <w:rFonts w:ascii="Calibri" w:hAnsi="Calibri" w:cs="宋体"/>
                <w:color w:val="000000"/>
                <w:kern w:val="0"/>
                <w:sz w:val="20"/>
                <w:szCs w:val="20"/>
              </w:rPr>
              <w:t>0.0</w:t>
            </w:r>
          </w:p>
        </w:tc>
        <w:tc>
          <w:tcPr>
            <w:tcW w:w="708" w:type="dxa"/>
            <w:tcBorders>
              <w:top w:val="nil"/>
              <w:left w:val="nil"/>
              <w:bottom w:val="nil"/>
              <w:right w:val="nil"/>
            </w:tcBorders>
            <w:shd w:val="clear" w:color="000000" w:fill="FFFFFF"/>
            <w:noWrap/>
            <w:vAlign w:val="center"/>
          </w:tcPr>
          <w:p>
            <w:pPr>
              <w:widowControl/>
              <w:spacing w:line="320" w:lineRule="exact"/>
              <w:jc w:val="center"/>
              <w:rPr>
                <w:rFonts w:ascii="Calibri" w:hAnsi="Calibri" w:cs="宋体"/>
                <w:color w:val="000000"/>
                <w:kern w:val="0"/>
                <w:sz w:val="20"/>
                <w:szCs w:val="20"/>
              </w:rPr>
            </w:pPr>
            <w:r>
              <w:rPr>
                <w:rFonts w:ascii="Calibri" w:hAnsi="Calibri" w:cs="宋体"/>
                <w:color w:val="000000"/>
                <w:kern w:val="0"/>
                <w:sz w:val="20"/>
                <w:szCs w:val="20"/>
              </w:rPr>
              <w:t>0.6</w:t>
            </w:r>
          </w:p>
        </w:tc>
        <w:tc>
          <w:tcPr>
            <w:tcW w:w="851" w:type="dxa"/>
            <w:tcBorders>
              <w:top w:val="nil"/>
              <w:left w:val="nil"/>
              <w:bottom w:val="nil"/>
              <w:right w:val="nil"/>
            </w:tcBorders>
            <w:shd w:val="clear" w:color="000000" w:fill="FFFFFF"/>
            <w:noWrap/>
            <w:vAlign w:val="center"/>
          </w:tcPr>
          <w:p>
            <w:pPr>
              <w:widowControl/>
              <w:spacing w:line="320" w:lineRule="exact"/>
              <w:jc w:val="center"/>
              <w:rPr>
                <w:rFonts w:ascii="Calibri" w:hAnsi="Calibri" w:cs="宋体"/>
                <w:color w:val="000000"/>
                <w:kern w:val="0"/>
                <w:sz w:val="20"/>
                <w:szCs w:val="20"/>
              </w:rPr>
            </w:pPr>
            <w:r>
              <w:rPr>
                <w:rFonts w:ascii="Calibri" w:hAnsi="Calibri" w:cs="宋体"/>
                <w:color w:val="000000"/>
                <w:kern w:val="0"/>
                <w:sz w:val="20"/>
                <w:szCs w:val="20"/>
              </w:rPr>
              <w:t>0.0</w:t>
            </w:r>
          </w:p>
        </w:tc>
        <w:tc>
          <w:tcPr>
            <w:tcW w:w="709" w:type="dxa"/>
            <w:tcBorders>
              <w:top w:val="nil"/>
              <w:left w:val="nil"/>
              <w:bottom w:val="nil"/>
              <w:right w:val="nil"/>
            </w:tcBorders>
            <w:shd w:val="clear" w:color="000000" w:fill="FFFFFF"/>
            <w:noWrap/>
            <w:vAlign w:val="center"/>
          </w:tcPr>
          <w:p>
            <w:pPr>
              <w:widowControl/>
              <w:spacing w:line="320" w:lineRule="exact"/>
              <w:jc w:val="center"/>
              <w:rPr>
                <w:rFonts w:ascii="Calibri" w:hAnsi="Calibri" w:cs="宋体"/>
                <w:color w:val="000000"/>
                <w:kern w:val="0"/>
                <w:sz w:val="20"/>
                <w:szCs w:val="20"/>
              </w:rPr>
            </w:pPr>
            <w:r>
              <w:rPr>
                <w:rFonts w:ascii="Calibri" w:hAnsi="Calibri" w:cs="宋体"/>
                <w:color w:val="000000"/>
                <w:kern w:val="0"/>
                <w:sz w:val="20"/>
                <w:szCs w:val="20"/>
              </w:rPr>
              <w:t>8.3</w:t>
            </w:r>
          </w:p>
        </w:tc>
      </w:tr>
      <w:tr>
        <w:tblPrEx>
          <w:tblCellMar>
            <w:top w:w="0" w:type="dxa"/>
            <w:left w:w="108" w:type="dxa"/>
            <w:bottom w:w="0" w:type="dxa"/>
            <w:right w:w="108" w:type="dxa"/>
          </w:tblCellMar>
        </w:tblPrEx>
        <w:trPr>
          <w:trHeight w:val="270" w:hRule="atLeast"/>
        </w:trPr>
        <w:tc>
          <w:tcPr>
            <w:tcW w:w="860" w:type="dxa"/>
            <w:tcBorders>
              <w:top w:val="nil"/>
              <w:left w:val="nil"/>
              <w:right w:val="nil"/>
            </w:tcBorders>
            <w:shd w:val="clear" w:color="000000" w:fill="BEEDF8"/>
            <w:noWrap/>
            <w:vAlign w:val="center"/>
          </w:tcPr>
          <w:p>
            <w:pPr>
              <w:widowControl/>
              <w:spacing w:line="320" w:lineRule="exact"/>
              <w:jc w:val="left"/>
              <w:rPr>
                <w:rFonts w:hint="eastAsia" w:ascii="宋体" w:hAnsi="宋体" w:cs="宋体"/>
                <w:color w:val="000000"/>
                <w:kern w:val="0"/>
                <w:sz w:val="20"/>
                <w:szCs w:val="20"/>
              </w:rPr>
            </w:pPr>
            <w:r>
              <w:rPr>
                <w:rFonts w:hint="eastAsia" w:ascii="宋体" w:hAnsi="宋体" w:cs="宋体"/>
                <w:color w:val="000000"/>
                <w:kern w:val="0"/>
                <w:sz w:val="20"/>
                <w:szCs w:val="20"/>
              </w:rPr>
              <w:t>西语系</w:t>
            </w:r>
          </w:p>
        </w:tc>
        <w:tc>
          <w:tcPr>
            <w:tcW w:w="866" w:type="dxa"/>
            <w:tcBorders>
              <w:top w:val="nil"/>
              <w:left w:val="nil"/>
              <w:right w:val="nil"/>
            </w:tcBorders>
            <w:shd w:val="clear" w:color="000000" w:fill="BEEDF8"/>
            <w:noWrap/>
            <w:vAlign w:val="center"/>
          </w:tcPr>
          <w:p>
            <w:pPr>
              <w:widowControl/>
              <w:spacing w:line="320" w:lineRule="exact"/>
              <w:jc w:val="center"/>
              <w:rPr>
                <w:rFonts w:ascii="Calibri" w:hAnsi="Calibri" w:cs="宋体"/>
                <w:color w:val="000000"/>
                <w:kern w:val="0"/>
                <w:sz w:val="20"/>
                <w:szCs w:val="20"/>
              </w:rPr>
            </w:pPr>
            <w:r>
              <w:rPr>
                <w:rFonts w:ascii="Calibri" w:hAnsi="Calibri" w:cs="宋体"/>
                <w:color w:val="000000"/>
                <w:kern w:val="0"/>
                <w:sz w:val="20"/>
                <w:szCs w:val="20"/>
              </w:rPr>
              <w:t>35.9</w:t>
            </w:r>
          </w:p>
        </w:tc>
        <w:tc>
          <w:tcPr>
            <w:tcW w:w="850" w:type="dxa"/>
            <w:tcBorders>
              <w:top w:val="nil"/>
              <w:left w:val="nil"/>
              <w:right w:val="nil"/>
            </w:tcBorders>
            <w:shd w:val="clear" w:color="000000" w:fill="BEEDF8"/>
            <w:noWrap/>
            <w:vAlign w:val="center"/>
          </w:tcPr>
          <w:p>
            <w:pPr>
              <w:widowControl/>
              <w:spacing w:line="320" w:lineRule="exact"/>
              <w:jc w:val="center"/>
              <w:rPr>
                <w:rFonts w:ascii="Calibri" w:hAnsi="Calibri" w:cs="宋体"/>
                <w:color w:val="000000"/>
                <w:kern w:val="0"/>
                <w:sz w:val="20"/>
                <w:szCs w:val="20"/>
              </w:rPr>
            </w:pPr>
            <w:r>
              <w:rPr>
                <w:rFonts w:ascii="Calibri" w:hAnsi="Calibri" w:cs="宋体"/>
                <w:color w:val="000000"/>
                <w:kern w:val="0"/>
                <w:sz w:val="20"/>
                <w:szCs w:val="20"/>
              </w:rPr>
              <w:t>15.9</w:t>
            </w:r>
          </w:p>
        </w:tc>
        <w:tc>
          <w:tcPr>
            <w:tcW w:w="851" w:type="dxa"/>
            <w:tcBorders>
              <w:top w:val="nil"/>
              <w:left w:val="nil"/>
              <w:right w:val="nil"/>
            </w:tcBorders>
            <w:shd w:val="clear" w:color="000000" w:fill="BEEDF8"/>
            <w:noWrap/>
            <w:vAlign w:val="center"/>
          </w:tcPr>
          <w:p>
            <w:pPr>
              <w:widowControl/>
              <w:spacing w:line="320" w:lineRule="exact"/>
              <w:jc w:val="center"/>
              <w:rPr>
                <w:rFonts w:ascii="Calibri" w:hAnsi="Calibri" w:cs="宋体"/>
                <w:color w:val="000000"/>
                <w:kern w:val="0"/>
                <w:sz w:val="20"/>
                <w:szCs w:val="20"/>
              </w:rPr>
            </w:pPr>
            <w:r>
              <w:rPr>
                <w:rFonts w:ascii="Calibri" w:hAnsi="Calibri" w:cs="宋体"/>
                <w:color w:val="000000"/>
                <w:kern w:val="0"/>
                <w:sz w:val="20"/>
                <w:szCs w:val="20"/>
              </w:rPr>
              <w:t>4.8</w:t>
            </w:r>
          </w:p>
        </w:tc>
        <w:tc>
          <w:tcPr>
            <w:tcW w:w="709" w:type="dxa"/>
            <w:tcBorders>
              <w:top w:val="nil"/>
              <w:left w:val="nil"/>
              <w:right w:val="nil"/>
            </w:tcBorders>
            <w:shd w:val="clear" w:color="000000" w:fill="BEEDF8"/>
            <w:noWrap/>
            <w:vAlign w:val="center"/>
          </w:tcPr>
          <w:p>
            <w:pPr>
              <w:widowControl/>
              <w:spacing w:line="320" w:lineRule="exact"/>
              <w:jc w:val="center"/>
              <w:rPr>
                <w:rFonts w:ascii="Calibri" w:hAnsi="Calibri" w:cs="宋体"/>
                <w:color w:val="000000"/>
                <w:kern w:val="0"/>
                <w:sz w:val="20"/>
                <w:szCs w:val="20"/>
              </w:rPr>
            </w:pPr>
            <w:r>
              <w:rPr>
                <w:rFonts w:ascii="Calibri" w:hAnsi="Calibri" w:cs="宋体"/>
                <w:color w:val="000000"/>
                <w:kern w:val="0"/>
                <w:sz w:val="20"/>
                <w:szCs w:val="20"/>
              </w:rPr>
              <w:t>17.9</w:t>
            </w:r>
          </w:p>
        </w:tc>
        <w:tc>
          <w:tcPr>
            <w:tcW w:w="850" w:type="dxa"/>
            <w:tcBorders>
              <w:top w:val="nil"/>
              <w:left w:val="nil"/>
              <w:right w:val="nil"/>
            </w:tcBorders>
            <w:shd w:val="clear" w:color="000000" w:fill="BEEDF8"/>
            <w:noWrap/>
            <w:vAlign w:val="center"/>
          </w:tcPr>
          <w:p>
            <w:pPr>
              <w:widowControl/>
              <w:spacing w:line="320" w:lineRule="exact"/>
              <w:jc w:val="center"/>
              <w:rPr>
                <w:rFonts w:ascii="Calibri" w:hAnsi="Calibri" w:cs="宋体"/>
                <w:color w:val="000000"/>
                <w:kern w:val="0"/>
                <w:sz w:val="20"/>
                <w:szCs w:val="20"/>
              </w:rPr>
            </w:pPr>
            <w:r>
              <w:rPr>
                <w:rFonts w:ascii="Calibri" w:hAnsi="Calibri" w:cs="宋体"/>
                <w:color w:val="000000"/>
                <w:kern w:val="0"/>
                <w:sz w:val="20"/>
                <w:szCs w:val="20"/>
              </w:rPr>
              <w:t>22.1</w:t>
            </w:r>
          </w:p>
        </w:tc>
        <w:tc>
          <w:tcPr>
            <w:tcW w:w="709" w:type="dxa"/>
            <w:tcBorders>
              <w:top w:val="nil"/>
              <w:left w:val="nil"/>
              <w:right w:val="nil"/>
            </w:tcBorders>
            <w:shd w:val="clear" w:color="000000" w:fill="BEEDF8"/>
            <w:noWrap/>
            <w:vAlign w:val="center"/>
          </w:tcPr>
          <w:p>
            <w:pPr>
              <w:widowControl/>
              <w:spacing w:line="320" w:lineRule="exact"/>
              <w:jc w:val="center"/>
              <w:rPr>
                <w:rFonts w:ascii="Calibri" w:hAnsi="Calibri" w:cs="宋体"/>
                <w:color w:val="000000"/>
                <w:kern w:val="0"/>
                <w:sz w:val="20"/>
                <w:szCs w:val="20"/>
              </w:rPr>
            </w:pPr>
            <w:r>
              <w:rPr>
                <w:rFonts w:ascii="Calibri" w:hAnsi="Calibri" w:cs="宋体"/>
                <w:color w:val="000000"/>
                <w:kern w:val="0"/>
                <w:sz w:val="20"/>
                <w:szCs w:val="20"/>
              </w:rPr>
              <w:t>0.0</w:t>
            </w:r>
          </w:p>
        </w:tc>
        <w:tc>
          <w:tcPr>
            <w:tcW w:w="709" w:type="dxa"/>
            <w:tcBorders>
              <w:top w:val="nil"/>
              <w:left w:val="nil"/>
              <w:right w:val="nil"/>
            </w:tcBorders>
            <w:shd w:val="clear" w:color="000000" w:fill="BEEDF8"/>
            <w:noWrap/>
            <w:vAlign w:val="center"/>
          </w:tcPr>
          <w:p>
            <w:pPr>
              <w:widowControl/>
              <w:spacing w:line="320" w:lineRule="exact"/>
              <w:jc w:val="center"/>
              <w:rPr>
                <w:rFonts w:ascii="Calibri" w:hAnsi="Calibri" w:cs="宋体"/>
                <w:color w:val="000000"/>
                <w:kern w:val="0"/>
                <w:sz w:val="20"/>
                <w:szCs w:val="20"/>
              </w:rPr>
            </w:pPr>
            <w:r>
              <w:rPr>
                <w:rFonts w:ascii="Calibri" w:hAnsi="Calibri" w:cs="宋体"/>
                <w:color w:val="000000"/>
                <w:kern w:val="0"/>
                <w:sz w:val="20"/>
                <w:szCs w:val="20"/>
              </w:rPr>
              <w:t>0.0</w:t>
            </w:r>
          </w:p>
        </w:tc>
        <w:tc>
          <w:tcPr>
            <w:tcW w:w="708" w:type="dxa"/>
            <w:tcBorders>
              <w:top w:val="nil"/>
              <w:left w:val="nil"/>
              <w:right w:val="nil"/>
            </w:tcBorders>
            <w:shd w:val="clear" w:color="000000" w:fill="BEEDF8"/>
            <w:noWrap/>
            <w:vAlign w:val="center"/>
          </w:tcPr>
          <w:p>
            <w:pPr>
              <w:widowControl/>
              <w:spacing w:line="320" w:lineRule="exact"/>
              <w:jc w:val="center"/>
              <w:rPr>
                <w:rFonts w:ascii="Calibri" w:hAnsi="Calibri" w:cs="宋体"/>
                <w:color w:val="000000"/>
                <w:kern w:val="0"/>
                <w:sz w:val="20"/>
                <w:szCs w:val="20"/>
              </w:rPr>
            </w:pPr>
            <w:r>
              <w:rPr>
                <w:rFonts w:ascii="Calibri" w:hAnsi="Calibri" w:cs="宋体"/>
                <w:color w:val="000000"/>
                <w:kern w:val="0"/>
                <w:sz w:val="20"/>
                <w:szCs w:val="20"/>
              </w:rPr>
              <w:t>0.0</w:t>
            </w:r>
          </w:p>
        </w:tc>
        <w:tc>
          <w:tcPr>
            <w:tcW w:w="851" w:type="dxa"/>
            <w:tcBorders>
              <w:top w:val="nil"/>
              <w:left w:val="nil"/>
              <w:right w:val="nil"/>
            </w:tcBorders>
            <w:shd w:val="clear" w:color="000000" w:fill="BEEDF8"/>
            <w:noWrap/>
            <w:vAlign w:val="center"/>
          </w:tcPr>
          <w:p>
            <w:pPr>
              <w:widowControl/>
              <w:spacing w:line="320" w:lineRule="exact"/>
              <w:jc w:val="center"/>
              <w:rPr>
                <w:rFonts w:ascii="Calibri" w:hAnsi="Calibri" w:cs="宋体"/>
                <w:color w:val="000000"/>
                <w:kern w:val="0"/>
                <w:sz w:val="20"/>
                <w:szCs w:val="20"/>
              </w:rPr>
            </w:pPr>
            <w:r>
              <w:rPr>
                <w:rFonts w:ascii="Calibri" w:hAnsi="Calibri" w:cs="宋体"/>
                <w:color w:val="000000"/>
                <w:kern w:val="0"/>
                <w:sz w:val="20"/>
                <w:szCs w:val="20"/>
              </w:rPr>
              <w:t>0.0</w:t>
            </w:r>
          </w:p>
        </w:tc>
        <w:tc>
          <w:tcPr>
            <w:tcW w:w="709" w:type="dxa"/>
            <w:tcBorders>
              <w:top w:val="nil"/>
              <w:left w:val="nil"/>
              <w:right w:val="nil"/>
            </w:tcBorders>
            <w:shd w:val="clear" w:color="000000" w:fill="BEEDF8"/>
            <w:noWrap/>
            <w:vAlign w:val="center"/>
          </w:tcPr>
          <w:p>
            <w:pPr>
              <w:widowControl/>
              <w:spacing w:line="320" w:lineRule="exact"/>
              <w:jc w:val="center"/>
              <w:rPr>
                <w:rFonts w:ascii="Calibri" w:hAnsi="Calibri" w:cs="宋体"/>
                <w:color w:val="000000"/>
                <w:kern w:val="0"/>
                <w:sz w:val="20"/>
                <w:szCs w:val="20"/>
              </w:rPr>
            </w:pPr>
            <w:r>
              <w:rPr>
                <w:rFonts w:ascii="Calibri" w:hAnsi="Calibri" w:cs="宋体"/>
                <w:color w:val="000000"/>
                <w:kern w:val="0"/>
                <w:sz w:val="20"/>
                <w:szCs w:val="20"/>
              </w:rPr>
              <w:t>3.4</w:t>
            </w:r>
          </w:p>
        </w:tc>
      </w:tr>
      <w:tr>
        <w:tblPrEx>
          <w:tblCellMar>
            <w:top w:w="0" w:type="dxa"/>
            <w:left w:w="108" w:type="dxa"/>
            <w:bottom w:w="0" w:type="dxa"/>
            <w:right w:w="108" w:type="dxa"/>
          </w:tblCellMar>
        </w:tblPrEx>
        <w:trPr>
          <w:trHeight w:val="270" w:hRule="atLeast"/>
        </w:trPr>
        <w:tc>
          <w:tcPr>
            <w:tcW w:w="860" w:type="dxa"/>
            <w:tcBorders>
              <w:top w:val="nil"/>
              <w:left w:val="nil"/>
              <w:right w:val="nil"/>
            </w:tcBorders>
            <w:shd w:val="clear" w:color="auto" w:fill="FFFFFF"/>
            <w:noWrap/>
            <w:vAlign w:val="center"/>
          </w:tcPr>
          <w:p>
            <w:pPr>
              <w:widowControl/>
              <w:spacing w:line="320" w:lineRule="exact"/>
              <w:jc w:val="left"/>
              <w:rPr>
                <w:rFonts w:hint="eastAsia" w:ascii="宋体" w:hAnsi="宋体" w:cs="宋体"/>
                <w:color w:val="000000"/>
                <w:kern w:val="0"/>
                <w:sz w:val="20"/>
                <w:szCs w:val="20"/>
              </w:rPr>
            </w:pPr>
            <w:r>
              <w:rPr>
                <w:rFonts w:hint="eastAsia" w:ascii="宋体" w:hAnsi="宋体" w:cs="宋体"/>
                <w:color w:val="000000"/>
                <w:kern w:val="0"/>
                <w:sz w:val="20"/>
                <w:szCs w:val="20"/>
              </w:rPr>
              <w:t>公共教学部</w:t>
            </w:r>
          </w:p>
        </w:tc>
        <w:tc>
          <w:tcPr>
            <w:tcW w:w="866" w:type="dxa"/>
            <w:tcBorders>
              <w:top w:val="nil"/>
              <w:left w:val="nil"/>
              <w:right w:val="nil"/>
            </w:tcBorders>
            <w:shd w:val="clear" w:color="auto" w:fill="FFFFFF"/>
            <w:noWrap/>
            <w:vAlign w:val="center"/>
          </w:tcPr>
          <w:p>
            <w:pPr>
              <w:widowControl/>
              <w:spacing w:line="320" w:lineRule="exact"/>
              <w:jc w:val="center"/>
              <w:rPr>
                <w:rFonts w:ascii="Calibri" w:hAnsi="Calibri" w:cs="宋体"/>
                <w:color w:val="000000"/>
                <w:kern w:val="0"/>
                <w:sz w:val="20"/>
                <w:szCs w:val="20"/>
              </w:rPr>
            </w:pPr>
            <w:r>
              <w:rPr>
                <w:rFonts w:ascii="Calibri" w:hAnsi="Calibri"/>
                <w:color w:val="000000"/>
                <w:sz w:val="20"/>
                <w:szCs w:val="20"/>
              </w:rPr>
              <w:t>27.3</w:t>
            </w:r>
          </w:p>
        </w:tc>
        <w:tc>
          <w:tcPr>
            <w:tcW w:w="850" w:type="dxa"/>
            <w:tcBorders>
              <w:top w:val="nil"/>
              <w:left w:val="nil"/>
              <w:bottom w:val="nil"/>
              <w:right w:val="nil"/>
            </w:tcBorders>
            <w:shd w:val="clear" w:color="auto" w:fill="FFFFFF"/>
            <w:noWrap/>
            <w:vAlign w:val="center"/>
          </w:tcPr>
          <w:p>
            <w:pPr>
              <w:widowControl/>
              <w:spacing w:line="320" w:lineRule="exact"/>
              <w:jc w:val="center"/>
              <w:rPr>
                <w:rFonts w:ascii="Calibri" w:hAnsi="Calibri" w:cs="宋体"/>
                <w:color w:val="000000"/>
                <w:kern w:val="0"/>
                <w:sz w:val="20"/>
                <w:szCs w:val="20"/>
              </w:rPr>
            </w:pPr>
            <w:r>
              <w:rPr>
                <w:rFonts w:ascii="Calibri" w:hAnsi="Calibri"/>
                <w:color w:val="000000"/>
                <w:sz w:val="20"/>
                <w:szCs w:val="20"/>
              </w:rPr>
              <w:t>0.0</w:t>
            </w:r>
          </w:p>
        </w:tc>
        <w:tc>
          <w:tcPr>
            <w:tcW w:w="851" w:type="dxa"/>
            <w:tcBorders>
              <w:top w:val="nil"/>
              <w:left w:val="nil"/>
              <w:bottom w:val="nil"/>
              <w:right w:val="nil"/>
            </w:tcBorders>
            <w:shd w:val="clear" w:color="auto" w:fill="FFFFFF"/>
            <w:noWrap/>
            <w:vAlign w:val="center"/>
          </w:tcPr>
          <w:p>
            <w:pPr>
              <w:widowControl/>
              <w:spacing w:line="320" w:lineRule="exact"/>
              <w:jc w:val="center"/>
              <w:rPr>
                <w:rFonts w:ascii="Calibri" w:hAnsi="Calibri" w:cs="宋体"/>
                <w:color w:val="000000"/>
                <w:kern w:val="0"/>
                <w:sz w:val="20"/>
                <w:szCs w:val="20"/>
              </w:rPr>
            </w:pPr>
            <w:r>
              <w:rPr>
                <w:rFonts w:ascii="Calibri" w:hAnsi="Calibri"/>
                <w:color w:val="000000"/>
                <w:sz w:val="20"/>
                <w:szCs w:val="20"/>
              </w:rPr>
              <w:t>63.6</w:t>
            </w:r>
          </w:p>
        </w:tc>
        <w:tc>
          <w:tcPr>
            <w:tcW w:w="709" w:type="dxa"/>
            <w:tcBorders>
              <w:top w:val="nil"/>
              <w:left w:val="nil"/>
              <w:bottom w:val="nil"/>
              <w:right w:val="nil"/>
            </w:tcBorders>
            <w:shd w:val="clear" w:color="auto" w:fill="FFFFFF"/>
            <w:noWrap/>
            <w:vAlign w:val="center"/>
          </w:tcPr>
          <w:p>
            <w:pPr>
              <w:widowControl/>
              <w:spacing w:line="320" w:lineRule="exact"/>
              <w:jc w:val="center"/>
              <w:rPr>
                <w:rFonts w:ascii="Calibri" w:hAnsi="Calibri" w:cs="宋体"/>
                <w:color w:val="000000"/>
                <w:kern w:val="0"/>
                <w:sz w:val="20"/>
                <w:szCs w:val="20"/>
              </w:rPr>
            </w:pPr>
            <w:r>
              <w:rPr>
                <w:rFonts w:ascii="Calibri" w:hAnsi="Calibri"/>
                <w:color w:val="000000"/>
                <w:sz w:val="20"/>
                <w:szCs w:val="20"/>
              </w:rPr>
              <w:t>0.0</w:t>
            </w:r>
          </w:p>
        </w:tc>
        <w:tc>
          <w:tcPr>
            <w:tcW w:w="850" w:type="dxa"/>
            <w:tcBorders>
              <w:top w:val="nil"/>
              <w:left w:val="nil"/>
              <w:bottom w:val="nil"/>
              <w:right w:val="nil"/>
            </w:tcBorders>
            <w:shd w:val="clear" w:color="auto" w:fill="FFFFFF"/>
            <w:noWrap/>
            <w:vAlign w:val="center"/>
          </w:tcPr>
          <w:p>
            <w:pPr>
              <w:widowControl/>
              <w:spacing w:line="320" w:lineRule="exact"/>
              <w:jc w:val="center"/>
              <w:rPr>
                <w:rFonts w:ascii="Calibri" w:hAnsi="Calibri" w:cs="宋体"/>
                <w:color w:val="000000"/>
                <w:kern w:val="0"/>
                <w:sz w:val="20"/>
                <w:szCs w:val="20"/>
              </w:rPr>
            </w:pPr>
            <w:r>
              <w:rPr>
                <w:rFonts w:ascii="Calibri" w:hAnsi="Calibri"/>
                <w:color w:val="000000"/>
                <w:sz w:val="20"/>
                <w:szCs w:val="20"/>
              </w:rPr>
              <w:t>0.0</w:t>
            </w:r>
          </w:p>
        </w:tc>
        <w:tc>
          <w:tcPr>
            <w:tcW w:w="709" w:type="dxa"/>
            <w:tcBorders>
              <w:top w:val="nil"/>
              <w:left w:val="nil"/>
              <w:bottom w:val="nil"/>
              <w:right w:val="nil"/>
            </w:tcBorders>
            <w:shd w:val="clear" w:color="auto" w:fill="FFFFFF"/>
            <w:noWrap/>
            <w:vAlign w:val="center"/>
          </w:tcPr>
          <w:p>
            <w:pPr>
              <w:widowControl/>
              <w:spacing w:line="320" w:lineRule="exact"/>
              <w:jc w:val="center"/>
              <w:rPr>
                <w:rFonts w:ascii="Calibri" w:hAnsi="Calibri" w:cs="宋体"/>
                <w:color w:val="000000"/>
                <w:kern w:val="0"/>
                <w:sz w:val="20"/>
                <w:szCs w:val="20"/>
              </w:rPr>
            </w:pPr>
            <w:r>
              <w:rPr>
                <w:rFonts w:ascii="Calibri" w:hAnsi="Calibri"/>
                <w:color w:val="000000"/>
                <w:sz w:val="20"/>
                <w:szCs w:val="20"/>
              </w:rPr>
              <w:t>0.0</w:t>
            </w:r>
          </w:p>
        </w:tc>
        <w:tc>
          <w:tcPr>
            <w:tcW w:w="709" w:type="dxa"/>
            <w:tcBorders>
              <w:top w:val="nil"/>
              <w:left w:val="nil"/>
              <w:bottom w:val="nil"/>
              <w:right w:val="nil"/>
            </w:tcBorders>
            <w:shd w:val="clear" w:color="auto" w:fill="FFFFFF"/>
            <w:noWrap/>
            <w:vAlign w:val="center"/>
          </w:tcPr>
          <w:p>
            <w:pPr>
              <w:widowControl/>
              <w:spacing w:line="320" w:lineRule="exact"/>
              <w:jc w:val="center"/>
              <w:rPr>
                <w:rFonts w:ascii="Calibri" w:hAnsi="Calibri" w:cs="宋体"/>
                <w:color w:val="000000"/>
                <w:kern w:val="0"/>
                <w:sz w:val="20"/>
                <w:szCs w:val="20"/>
              </w:rPr>
            </w:pPr>
            <w:r>
              <w:rPr>
                <w:rFonts w:ascii="Calibri" w:hAnsi="Calibri"/>
                <w:color w:val="000000"/>
                <w:sz w:val="20"/>
                <w:szCs w:val="20"/>
              </w:rPr>
              <w:t>0.0</w:t>
            </w:r>
          </w:p>
        </w:tc>
        <w:tc>
          <w:tcPr>
            <w:tcW w:w="708" w:type="dxa"/>
            <w:tcBorders>
              <w:top w:val="nil"/>
              <w:left w:val="nil"/>
              <w:bottom w:val="nil"/>
              <w:right w:val="nil"/>
            </w:tcBorders>
            <w:shd w:val="clear" w:color="auto" w:fill="FFFFFF"/>
            <w:noWrap/>
            <w:vAlign w:val="center"/>
          </w:tcPr>
          <w:p>
            <w:pPr>
              <w:widowControl/>
              <w:spacing w:line="320" w:lineRule="exact"/>
              <w:jc w:val="center"/>
              <w:rPr>
                <w:rFonts w:ascii="Calibri" w:hAnsi="Calibri" w:cs="宋体"/>
                <w:color w:val="000000"/>
                <w:kern w:val="0"/>
                <w:sz w:val="20"/>
                <w:szCs w:val="20"/>
              </w:rPr>
            </w:pPr>
            <w:r>
              <w:rPr>
                <w:rFonts w:ascii="Calibri" w:hAnsi="Calibri"/>
                <w:color w:val="000000"/>
                <w:sz w:val="20"/>
                <w:szCs w:val="20"/>
              </w:rPr>
              <w:t>0.0</w:t>
            </w:r>
          </w:p>
        </w:tc>
        <w:tc>
          <w:tcPr>
            <w:tcW w:w="851" w:type="dxa"/>
            <w:tcBorders>
              <w:top w:val="nil"/>
              <w:left w:val="nil"/>
              <w:bottom w:val="nil"/>
              <w:right w:val="nil"/>
            </w:tcBorders>
            <w:shd w:val="clear" w:color="auto" w:fill="FFFFFF"/>
            <w:noWrap/>
            <w:vAlign w:val="center"/>
          </w:tcPr>
          <w:p>
            <w:pPr>
              <w:widowControl/>
              <w:spacing w:line="320" w:lineRule="exact"/>
              <w:jc w:val="center"/>
              <w:rPr>
                <w:rFonts w:ascii="Calibri" w:hAnsi="Calibri" w:cs="宋体"/>
                <w:color w:val="000000"/>
                <w:kern w:val="0"/>
                <w:sz w:val="20"/>
                <w:szCs w:val="20"/>
              </w:rPr>
            </w:pPr>
            <w:r>
              <w:rPr>
                <w:rFonts w:ascii="Calibri" w:hAnsi="Calibri"/>
                <w:color w:val="000000"/>
                <w:sz w:val="20"/>
                <w:szCs w:val="20"/>
              </w:rPr>
              <w:t>0.0</w:t>
            </w:r>
          </w:p>
        </w:tc>
        <w:tc>
          <w:tcPr>
            <w:tcW w:w="709" w:type="dxa"/>
            <w:tcBorders>
              <w:top w:val="nil"/>
              <w:left w:val="nil"/>
              <w:bottom w:val="nil"/>
              <w:right w:val="nil"/>
            </w:tcBorders>
            <w:shd w:val="clear" w:color="auto" w:fill="FFFFFF"/>
            <w:noWrap/>
            <w:vAlign w:val="center"/>
          </w:tcPr>
          <w:p>
            <w:pPr>
              <w:widowControl/>
              <w:spacing w:line="320" w:lineRule="exact"/>
              <w:jc w:val="center"/>
              <w:rPr>
                <w:rFonts w:ascii="Calibri" w:hAnsi="Calibri" w:cs="宋体"/>
                <w:color w:val="000000"/>
                <w:kern w:val="0"/>
                <w:sz w:val="20"/>
                <w:szCs w:val="20"/>
              </w:rPr>
            </w:pPr>
            <w:r>
              <w:rPr>
                <w:rFonts w:ascii="Calibri" w:hAnsi="Calibri"/>
                <w:color w:val="000000"/>
                <w:sz w:val="20"/>
                <w:szCs w:val="20"/>
              </w:rPr>
              <w:t>9.1</w:t>
            </w:r>
          </w:p>
        </w:tc>
      </w:tr>
      <w:tr>
        <w:tblPrEx>
          <w:tblCellMar>
            <w:top w:w="0" w:type="dxa"/>
            <w:left w:w="108" w:type="dxa"/>
            <w:bottom w:w="0" w:type="dxa"/>
            <w:right w:w="108" w:type="dxa"/>
          </w:tblCellMar>
        </w:tblPrEx>
        <w:trPr>
          <w:trHeight w:val="285" w:hRule="atLeast"/>
        </w:trPr>
        <w:tc>
          <w:tcPr>
            <w:tcW w:w="860" w:type="dxa"/>
            <w:tcBorders>
              <w:top w:val="nil"/>
              <w:left w:val="nil"/>
              <w:bottom w:val="single" w:color="57B8E7" w:sz="12" w:space="0"/>
              <w:right w:val="nil"/>
            </w:tcBorders>
            <w:shd w:val="clear" w:color="auto" w:fill="BEEDF8"/>
            <w:noWrap/>
            <w:vAlign w:val="center"/>
          </w:tcPr>
          <w:p>
            <w:pPr>
              <w:widowControl/>
              <w:spacing w:line="320" w:lineRule="exact"/>
              <w:jc w:val="left"/>
              <w:rPr>
                <w:rFonts w:hint="eastAsia" w:ascii="宋体" w:hAnsi="宋体" w:cs="宋体"/>
                <w:color w:val="000000"/>
                <w:kern w:val="0"/>
                <w:sz w:val="20"/>
                <w:szCs w:val="20"/>
              </w:rPr>
            </w:pPr>
            <w:r>
              <w:rPr>
                <w:rFonts w:hint="eastAsia" w:ascii="宋体" w:hAnsi="宋体" w:cs="宋体"/>
                <w:color w:val="000000"/>
                <w:kern w:val="0"/>
                <w:sz w:val="20"/>
                <w:szCs w:val="20"/>
              </w:rPr>
              <w:t>东语系</w:t>
            </w:r>
          </w:p>
        </w:tc>
        <w:tc>
          <w:tcPr>
            <w:tcW w:w="866" w:type="dxa"/>
            <w:tcBorders>
              <w:top w:val="nil"/>
              <w:left w:val="nil"/>
              <w:bottom w:val="single" w:color="57B8E7" w:sz="12" w:space="0"/>
              <w:right w:val="nil"/>
            </w:tcBorders>
            <w:shd w:val="clear" w:color="auto" w:fill="BEEDF8"/>
            <w:noWrap/>
            <w:vAlign w:val="center"/>
          </w:tcPr>
          <w:p>
            <w:pPr>
              <w:widowControl/>
              <w:spacing w:line="320" w:lineRule="exact"/>
              <w:jc w:val="center"/>
              <w:rPr>
                <w:rFonts w:ascii="Calibri" w:hAnsi="Calibri" w:cs="宋体"/>
                <w:color w:val="000000"/>
                <w:kern w:val="0"/>
                <w:sz w:val="20"/>
                <w:szCs w:val="20"/>
              </w:rPr>
            </w:pPr>
            <w:r>
              <w:rPr>
                <w:rFonts w:ascii="Calibri" w:hAnsi="Calibri" w:cs="宋体"/>
                <w:color w:val="000000"/>
                <w:kern w:val="0"/>
                <w:sz w:val="20"/>
                <w:szCs w:val="20"/>
              </w:rPr>
              <w:t>21.5</w:t>
            </w:r>
          </w:p>
        </w:tc>
        <w:tc>
          <w:tcPr>
            <w:tcW w:w="850" w:type="dxa"/>
            <w:tcBorders>
              <w:top w:val="nil"/>
              <w:left w:val="nil"/>
              <w:bottom w:val="single" w:color="57B8E7" w:sz="12" w:space="0"/>
              <w:right w:val="nil"/>
            </w:tcBorders>
            <w:shd w:val="clear" w:color="auto" w:fill="BEEDF8"/>
            <w:noWrap/>
            <w:vAlign w:val="center"/>
          </w:tcPr>
          <w:p>
            <w:pPr>
              <w:widowControl/>
              <w:spacing w:line="320" w:lineRule="exact"/>
              <w:jc w:val="center"/>
              <w:rPr>
                <w:rFonts w:ascii="Calibri" w:hAnsi="Calibri" w:cs="宋体"/>
                <w:color w:val="000000"/>
                <w:kern w:val="0"/>
                <w:sz w:val="20"/>
                <w:szCs w:val="20"/>
              </w:rPr>
            </w:pPr>
            <w:r>
              <w:rPr>
                <w:rFonts w:ascii="Calibri" w:hAnsi="Calibri" w:cs="宋体"/>
                <w:color w:val="000000"/>
                <w:kern w:val="0"/>
                <w:sz w:val="20"/>
                <w:szCs w:val="20"/>
              </w:rPr>
              <w:t>10.1</w:t>
            </w:r>
          </w:p>
        </w:tc>
        <w:tc>
          <w:tcPr>
            <w:tcW w:w="851" w:type="dxa"/>
            <w:tcBorders>
              <w:top w:val="nil"/>
              <w:left w:val="nil"/>
              <w:bottom w:val="single" w:color="57B8E7" w:sz="12" w:space="0"/>
              <w:right w:val="nil"/>
            </w:tcBorders>
            <w:shd w:val="clear" w:color="auto" w:fill="BEEDF8"/>
            <w:noWrap/>
            <w:vAlign w:val="center"/>
          </w:tcPr>
          <w:p>
            <w:pPr>
              <w:widowControl/>
              <w:spacing w:line="320" w:lineRule="exact"/>
              <w:jc w:val="center"/>
              <w:rPr>
                <w:rFonts w:ascii="Calibri" w:hAnsi="Calibri" w:cs="宋体"/>
                <w:color w:val="000000"/>
                <w:kern w:val="0"/>
                <w:sz w:val="20"/>
                <w:szCs w:val="20"/>
              </w:rPr>
            </w:pPr>
            <w:r>
              <w:rPr>
                <w:rFonts w:ascii="Calibri" w:hAnsi="Calibri" w:cs="宋体"/>
                <w:color w:val="000000"/>
                <w:kern w:val="0"/>
                <w:sz w:val="20"/>
                <w:szCs w:val="20"/>
              </w:rPr>
              <w:t>7.4</w:t>
            </w:r>
          </w:p>
        </w:tc>
        <w:tc>
          <w:tcPr>
            <w:tcW w:w="709" w:type="dxa"/>
            <w:tcBorders>
              <w:top w:val="nil"/>
              <w:left w:val="nil"/>
              <w:bottom w:val="single" w:color="57B8E7" w:sz="12" w:space="0"/>
              <w:right w:val="nil"/>
            </w:tcBorders>
            <w:shd w:val="clear" w:color="auto" w:fill="BEEDF8"/>
            <w:noWrap/>
            <w:vAlign w:val="center"/>
          </w:tcPr>
          <w:p>
            <w:pPr>
              <w:widowControl/>
              <w:spacing w:line="320" w:lineRule="exact"/>
              <w:jc w:val="center"/>
              <w:rPr>
                <w:rFonts w:ascii="Calibri" w:hAnsi="Calibri" w:cs="宋体"/>
                <w:color w:val="000000"/>
                <w:kern w:val="0"/>
                <w:sz w:val="20"/>
                <w:szCs w:val="20"/>
              </w:rPr>
            </w:pPr>
            <w:r>
              <w:rPr>
                <w:rFonts w:ascii="Calibri" w:hAnsi="Calibri" w:cs="宋体"/>
                <w:color w:val="000000"/>
                <w:kern w:val="0"/>
                <w:sz w:val="20"/>
                <w:szCs w:val="20"/>
              </w:rPr>
              <w:t>13.4</w:t>
            </w:r>
          </w:p>
        </w:tc>
        <w:tc>
          <w:tcPr>
            <w:tcW w:w="850" w:type="dxa"/>
            <w:tcBorders>
              <w:top w:val="nil"/>
              <w:left w:val="nil"/>
              <w:bottom w:val="single" w:color="57B8E7" w:sz="12" w:space="0"/>
              <w:right w:val="nil"/>
            </w:tcBorders>
            <w:shd w:val="clear" w:color="auto" w:fill="BEEDF8"/>
            <w:noWrap/>
            <w:vAlign w:val="center"/>
          </w:tcPr>
          <w:p>
            <w:pPr>
              <w:widowControl/>
              <w:spacing w:line="320" w:lineRule="exact"/>
              <w:jc w:val="center"/>
              <w:rPr>
                <w:rFonts w:ascii="Calibri" w:hAnsi="Calibri" w:cs="宋体"/>
                <w:color w:val="000000"/>
                <w:kern w:val="0"/>
                <w:sz w:val="20"/>
                <w:szCs w:val="20"/>
              </w:rPr>
            </w:pPr>
            <w:r>
              <w:rPr>
                <w:rFonts w:ascii="Calibri" w:hAnsi="Calibri" w:cs="宋体"/>
                <w:color w:val="000000"/>
                <w:kern w:val="0"/>
                <w:sz w:val="20"/>
                <w:szCs w:val="20"/>
              </w:rPr>
              <w:t>38.3</w:t>
            </w:r>
          </w:p>
        </w:tc>
        <w:tc>
          <w:tcPr>
            <w:tcW w:w="709" w:type="dxa"/>
            <w:tcBorders>
              <w:top w:val="nil"/>
              <w:left w:val="nil"/>
              <w:bottom w:val="single" w:color="57B8E7" w:sz="12" w:space="0"/>
              <w:right w:val="nil"/>
            </w:tcBorders>
            <w:shd w:val="clear" w:color="auto" w:fill="BEEDF8"/>
            <w:noWrap/>
            <w:vAlign w:val="center"/>
          </w:tcPr>
          <w:p>
            <w:pPr>
              <w:widowControl/>
              <w:spacing w:line="320" w:lineRule="exact"/>
              <w:jc w:val="center"/>
              <w:rPr>
                <w:rFonts w:ascii="Calibri" w:hAnsi="Calibri" w:cs="宋体"/>
                <w:color w:val="000000"/>
                <w:kern w:val="0"/>
                <w:sz w:val="20"/>
                <w:szCs w:val="20"/>
              </w:rPr>
            </w:pPr>
            <w:r>
              <w:rPr>
                <w:rFonts w:ascii="Calibri" w:hAnsi="Calibri" w:cs="宋体"/>
                <w:color w:val="000000"/>
                <w:kern w:val="0"/>
                <w:sz w:val="20"/>
                <w:szCs w:val="20"/>
              </w:rPr>
              <w:t>0.0</w:t>
            </w:r>
          </w:p>
        </w:tc>
        <w:tc>
          <w:tcPr>
            <w:tcW w:w="709" w:type="dxa"/>
            <w:tcBorders>
              <w:top w:val="nil"/>
              <w:left w:val="nil"/>
              <w:bottom w:val="single" w:color="57B8E7" w:sz="12" w:space="0"/>
              <w:right w:val="nil"/>
            </w:tcBorders>
            <w:shd w:val="clear" w:color="auto" w:fill="BEEDF8"/>
            <w:noWrap/>
            <w:vAlign w:val="center"/>
          </w:tcPr>
          <w:p>
            <w:pPr>
              <w:widowControl/>
              <w:spacing w:line="320" w:lineRule="exact"/>
              <w:jc w:val="center"/>
              <w:rPr>
                <w:rFonts w:ascii="Calibri" w:hAnsi="Calibri" w:cs="宋体"/>
                <w:color w:val="000000"/>
                <w:kern w:val="0"/>
                <w:sz w:val="20"/>
                <w:szCs w:val="20"/>
              </w:rPr>
            </w:pPr>
            <w:r>
              <w:rPr>
                <w:rFonts w:ascii="Calibri" w:hAnsi="Calibri" w:cs="宋体"/>
                <w:color w:val="000000"/>
                <w:kern w:val="0"/>
                <w:sz w:val="20"/>
                <w:szCs w:val="20"/>
              </w:rPr>
              <w:t>0.0</w:t>
            </w:r>
          </w:p>
        </w:tc>
        <w:tc>
          <w:tcPr>
            <w:tcW w:w="708" w:type="dxa"/>
            <w:tcBorders>
              <w:top w:val="nil"/>
              <w:left w:val="nil"/>
              <w:bottom w:val="single" w:color="57B8E7" w:sz="12" w:space="0"/>
              <w:right w:val="nil"/>
            </w:tcBorders>
            <w:shd w:val="clear" w:color="auto" w:fill="BEEDF8"/>
            <w:noWrap/>
            <w:vAlign w:val="center"/>
          </w:tcPr>
          <w:p>
            <w:pPr>
              <w:widowControl/>
              <w:spacing w:line="320" w:lineRule="exact"/>
              <w:jc w:val="center"/>
              <w:rPr>
                <w:rFonts w:ascii="Calibri" w:hAnsi="Calibri" w:cs="宋体"/>
                <w:color w:val="000000"/>
                <w:kern w:val="0"/>
                <w:sz w:val="20"/>
                <w:szCs w:val="20"/>
              </w:rPr>
            </w:pPr>
            <w:r>
              <w:rPr>
                <w:rFonts w:ascii="Calibri" w:hAnsi="Calibri" w:cs="宋体"/>
                <w:color w:val="000000"/>
                <w:kern w:val="0"/>
                <w:sz w:val="20"/>
                <w:szCs w:val="20"/>
              </w:rPr>
              <w:t>0.0</w:t>
            </w:r>
          </w:p>
        </w:tc>
        <w:tc>
          <w:tcPr>
            <w:tcW w:w="851" w:type="dxa"/>
            <w:tcBorders>
              <w:top w:val="nil"/>
              <w:left w:val="nil"/>
              <w:bottom w:val="single" w:color="57B8E7" w:sz="12" w:space="0"/>
              <w:right w:val="nil"/>
            </w:tcBorders>
            <w:shd w:val="clear" w:color="auto" w:fill="BEEDF8"/>
            <w:noWrap/>
            <w:vAlign w:val="center"/>
          </w:tcPr>
          <w:p>
            <w:pPr>
              <w:widowControl/>
              <w:spacing w:line="320" w:lineRule="exact"/>
              <w:jc w:val="center"/>
              <w:rPr>
                <w:rFonts w:ascii="Calibri" w:hAnsi="Calibri" w:cs="宋体"/>
                <w:color w:val="000000"/>
                <w:kern w:val="0"/>
                <w:sz w:val="20"/>
                <w:szCs w:val="20"/>
              </w:rPr>
            </w:pPr>
            <w:r>
              <w:rPr>
                <w:rFonts w:ascii="Calibri" w:hAnsi="Calibri" w:cs="宋体"/>
                <w:color w:val="000000"/>
                <w:kern w:val="0"/>
                <w:sz w:val="20"/>
                <w:szCs w:val="20"/>
              </w:rPr>
              <w:t>0.0</w:t>
            </w:r>
          </w:p>
        </w:tc>
        <w:tc>
          <w:tcPr>
            <w:tcW w:w="709" w:type="dxa"/>
            <w:tcBorders>
              <w:top w:val="nil"/>
              <w:left w:val="nil"/>
              <w:bottom w:val="single" w:color="57B8E7" w:sz="12" w:space="0"/>
              <w:right w:val="nil"/>
            </w:tcBorders>
            <w:shd w:val="clear" w:color="auto" w:fill="BEEDF8"/>
            <w:noWrap/>
            <w:vAlign w:val="center"/>
          </w:tcPr>
          <w:p>
            <w:pPr>
              <w:widowControl/>
              <w:spacing w:line="320" w:lineRule="exact"/>
              <w:jc w:val="center"/>
              <w:rPr>
                <w:rFonts w:ascii="Calibri" w:hAnsi="Calibri" w:cs="宋体"/>
                <w:color w:val="000000"/>
                <w:kern w:val="0"/>
                <w:sz w:val="20"/>
                <w:szCs w:val="20"/>
              </w:rPr>
            </w:pPr>
            <w:r>
              <w:rPr>
                <w:rFonts w:ascii="Calibri" w:hAnsi="Calibri" w:cs="宋体"/>
                <w:color w:val="000000"/>
                <w:kern w:val="0"/>
                <w:sz w:val="20"/>
                <w:szCs w:val="20"/>
              </w:rPr>
              <w:t>9.4</w:t>
            </w:r>
          </w:p>
        </w:tc>
      </w:tr>
    </w:tbl>
    <w:p>
      <w:pPr>
        <w:jc w:val="left"/>
        <w:rPr>
          <w:rFonts w:hint="eastAsia" w:asciiTheme="minorEastAsia" w:hAnsiTheme="minorEastAsia" w:eastAsiaTheme="minorEastAsia" w:cstheme="minorEastAsia"/>
          <w:color w:val="000000"/>
          <w:sz w:val="21"/>
          <w:szCs w:val="32"/>
        </w:rPr>
      </w:pPr>
      <w:r>
        <w:rPr>
          <w:rFonts w:hint="eastAsia" w:asciiTheme="minorEastAsia" w:hAnsiTheme="minorEastAsia" w:eastAsiaTheme="minorEastAsia" w:cstheme="minorEastAsia"/>
          <w:color w:val="000000"/>
          <w:sz w:val="21"/>
          <w:szCs w:val="32"/>
        </w:rPr>
        <w:t>注：表中本校数据保留一位小数，由于四舍五入，相加可能不等于100%。</w:t>
      </w:r>
    </w:p>
    <w:p>
      <w:pPr>
        <w:jc w:val="left"/>
        <w:rPr>
          <w:rFonts w:hint="eastAsia" w:asciiTheme="minorEastAsia" w:hAnsiTheme="minorEastAsia" w:eastAsiaTheme="minorEastAsia" w:cstheme="minorEastAsia"/>
          <w:color w:val="000000"/>
          <w:sz w:val="21"/>
          <w:szCs w:val="32"/>
        </w:rPr>
      </w:pPr>
      <w:r>
        <w:rPr>
          <w:rFonts w:hint="eastAsia" w:asciiTheme="minorEastAsia" w:hAnsiTheme="minorEastAsia" w:eastAsiaTheme="minorEastAsia" w:cstheme="minorEastAsia"/>
          <w:color w:val="000000"/>
          <w:sz w:val="21"/>
          <w:szCs w:val="32"/>
        </w:rPr>
        <w:t>数据来源：海南外国语职业学院数据。</w:t>
      </w:r>
    </w:p>
    <w:p>
      <w:pPr>
        <w:jc w:val="left"/>
        <w:rPr>
          <w:rFonts w:hint="eastAsia" w:ascii="Calibri" w:hAnsi="Calibri"/>
          <w:color w:val="000000"/>
          <w:sz w:val="18"/>
        </w:rPr>
      </w:pPr>
    </w:p>
    <w:bookmarkEnd w:id="76"/>
    <w:p>
      <w:pPr>
        <w:pStyle w:val="7"/>
        <w:bidi w:val="0"/>
      </w:pPr>
      <w:bookmarkStart w:id="80" w:name="itb_8002"/>
      <w:r>
        <w:rPr>
          <w:rFonts w:hint="eastAsia"/>
        </w:rPr>
        <w:t>本校2019届毕业生中，以签就业协议形式就业比例较高的专业是首饰设计与工艺（8</w:t>
      </w:r>
      <w:r>
        <w:t>2.4</w:t>
      </w:r>
      <w:r>
        <w:rPr>
          <w:rFonts w:hint="eastAsia"/>
        </w:rPr>
        <w:t>%）、旅游管理（航天旅游文化）（</w:t>
      </w:r>
      <w:r>
        <w:t>80</w:t>
      </w:r>
      <w:r>
        <w:rPr>
          <w:rFonts w:hint="eastAsia"/>
        </w:rPr>
        <w:t>.0%）。</w:t>
      </w:r>
    </w:p>
    <w:p>
      <w:pPr>
        <w:pStyle w:val="8"/>
        <w:numPr>
          <w:ilvl w:val="0"/>
          <w:numId w:val="0"/>
        </w:numPr>
        <w:spacing w:line="360" w:lineRule="auto"/>
        <w:jc w:val="center"/>
        <w:rPr>
          <w:rFonts w:hint="eastAsia" w:asciiTheme="minorEastAsia" w:hAnsiTheme="minorEastAsia" w:eastAsiaTheme="minorEastAsia" w:cstheme="minorEastAsia"/>
          <w:b/>
          <w:bCs/>
          <w:kern w:val="2"/>
          <w:sz w:val="21"/>
          <w:szCs w:val="21"/>
          <w:lang w:val="en-US" w:eastAsia="zh-CN" w:bidi="ar-SA"/>
        </w:rPr>
      </w:pPr>
      <w:bookmarkStart w:id="81" w:name="_Toc23442227"/>
      <w:r>
        <w:rPr>
          <w:rFonts w:hint="eastAsia" w:asciiTheme="minorEastAsia" w:hAnsiTheme="minorEastAsia" w:eastAsiaTheme="minorEastAsia" w:cstheme="minorEastAsia"/>
          <w:b/>
          <w:bCs/>
          <w:kern w:val="2"/>
          <w:sz w:val="21"/>
          <w:szCs w:val="21"/>
          <w:lang w:val="en-US" w:eastAsia="zh-CN" w:bidi="ar-SA"/>
        </w:rPr>
        <w:t>表 1-5各专业的毕业去向分布</w:t>
      </w:r>
      <w:bookmarkEnd w:id="81"/>
    </w:p>
    <w:p>
      <w:pPr>
        <w:jc w:val="right"/>
        <w:rPr>
          <w:rFonts w:ascii="Calibri" w:hAnsi="Calibri"/>
        </w:rPr>
      </w:pPr>
      <w:r>
        <w:rPr>
          <w:rFonts w:ascii="Calibri" w:hAnsi="Calibri"/>
          <w:b/>
          <w:sz w:val="18"/>
        </w:rPr>
        <w:t>单位：%</w:t>
      </w:r>
    </w:p>
    <w:tbl>
      <w:tblPr>
        <w:tblStyle w:val="14"/>
        <w:tblW w:w="8890" w:type="dxa"/>
        <w:jc w:val="center"/>
        <w:tblLayout w:type="fixed"/>
        <w:tblCellMar>
          <w:top w:w="0" w:type="dxa"/>
          <w:left w:w="108" w:type="dxa"/>
          <w:bottom w:w="0" w:type="dxa"/>
          <w:right w:w="108" w:type="dxa"/>
        </w:tblCellMar>
      </w:tblPr>
      <w:tblGrid>
        <w:gridCol w:w="1734"/>
        <w:gridCol w:w="715"/>
        <w:gridCol w:w="716"/>
        <w:gridCol w:w="715"/>
        <w:gridCol w:w="716"/>
        <w:gridCol w:w="716"/>
        <w:gridCol w:w="715"/>
        <w:gridCol w:w="716"/>
        <w:gridCol w:w="715"/>
        <w:gridCol w:w="716"/>
        <w:gridCol w:w="716"/>
      </w:tblGrid>
      <w:tr>
        <w:tblPrEx>
          <w:tblCellMar>
            <w:top w:w="0" w:type="dxa"/>
            <w:left w:w="108" w:type="dxa"/>
            <w:bottom w:w="0" w:type="dxa"/>
            <w:right w:w="108" w:type="dxa"/>
          </w:tblCellMar>
        </w:tblPrEx>
        <w:trPr>
          <w:trHeight w:val="810" w:hRule="atLeast"/>
          <w:tblHeader/>
          <w:jc w:val="center"/>
        </w:trPr>
        <w:tc>
          <w:tcPr>
            <w:tcW w:w="1734" w:type="dxa"/>
            <w:tcBorders>
              <w:top w:val="nil"/>
              <w:left w:val="nil"/>
              <w:bottom w:val="nil"/>
              <w:right w:val="single" w:color="FFFFFF" w:sz="12" w:space="0"/>
            </w:tcBorders>
            <w:shd w:val="clear" w:color="000000" w:fill="2350A0"/>
            <w:noWrap/>
            <w:vAlign w:val="center"/>
          </w:tcPr>
          <w:p>
            <w:pPr>
              <w:widowControl/>
              <w:spacing w:line="320" w:lineRule="exact"/>
              <w:jc w:val="center"/>
              <w:rPr>
                <w:rFonts w:ascii="Calibri" w:hAnsi="Calibri" w:cs="宋体"/>
                <w:b/>
                <w:bCs/>
                <w:color w:val="FFFFFF"/>
                <w:kern w:val="0"/>
                <w:sz w:val="20"/>
                <w:szCs w:val="20"/>
              </w:rPr>
            </w:pPr>
            <w:r>
              <w:rPr>
                <w:rFonts w:ascii="Calibri" w:hAnsi="Calibri" w:cs="宋体"/>
                <w:b/>
                <w:bCs/>
                <w:color w:val="FFFFFF"/>
                <w:kern w:val="0"/>
                <w:sz w:val="20"/>
                <w:szCs w:val="20"/>
              </w:rPr>
              <w:t>专业名称</w:t>
            </w:r>
          </w:p>
        </w:tc>
        <w:tc>
          <w:tcPr>
            <w:tcW w:w="715" w:type="dxa"/>
            <w:tcBorders>
              <w:top w:val="nil"/>
              <w:left w:val="nil"/>
              <w:bottom w:val="nil"/>
              <w:right w:val="single" w:color="FFFFFF" w:sz="12" w:space="0"/>
            </w:tcBorders>
            <w:shd w:val="clear" w:color="000000" w:fill="2350A0"/>
            <w:noWrap w:val="0"/>
            <w:vAlign w:val="center"/>
          </w:tcPr>
          <w:p>
            <w:pPr>
              <w:widowControl/>
              <w:spacing w:line="320" w:lineRule="exact"/>
              <w:jc w:val="center"/>
              <w:rPr>
                <w:rFonts w:ascii="Calibri" w:hAnsi="Calibri" w:cs="宋体"/>
                <w:b/>
                <w:bCs/>
                <w:color w:val="FFFFFF"/>
                <w:kern w:val="0"/>
                <w:sz w:val="20"/>
                <w:szCs w:val="20"/>
              </w:rPr>
            </w:pPr>
            <w:r>
              <w:rPr>
                <w:rFonts w:ascii="Calibri" w:hAnsi="Calibri" w:cs="宋体"/>
                <w:b/>
                <w:bCs/>
                <w:color w:val="FFFFFF"/>
                <w:kern w:val="0"/>
                <w:sz w:val="20"/>
                <w:szCs w:val="20"/>
              </w:rPr>
              <w:t>签就业协议形式就业</w:t>
            </w:r>
          </w:p>
        </w:tc>
        <w:tc>
          <w:tcPr>
            <w:tcW w:w="716" w:type="dxa"/>
            <w:tcBorders>
              <w:top w:val="nil"/>
              <w:left w:val="nil"/>
              <w:bottom w:val="nil"/>
              <w:right w:val="single" w:color="FFFFFF" w:sz="12" w:space="0"/>
            </w:tcBorders>
            <w:shd w:val="clear" w:color="000000" w:fill="2350A0"/>
            <w:noWrap w:val="0"/>
            <w:vAlign w:val="center"/>
          </w:tcPr>
          <w:p>
            <w:pPr>
              <w:widowControl/>
              <w:spacing w:line="320" w:lineRule="exact"/>
              <w:jc w:val="center"/>
              <w:rPr>
                <w:rFonts w:ascii="Calibri" w:hAnsi="Calibri" w:cs="宋体"/>
                <w:b/>
                <w:bCs/>
                <w:color w:val="FFFFFF"/>
                <w:kern w:val="0"/>
                <w:sz w:val="20"/>
                <w:szCs w:val="20"/>
              </w:rPr>
            </w:pPr>
            <w:r>
              <w:rPr>
                <w:rFonts w:ascii="Calibri" w:hAnsi="Calibri" w:cs="宋体"/>
                <w:b/>
                <w:bCs/>
                <w:color w:val="FFFFFF"/>
                <w:kern w:val="0"/>
                <w:sz w:val="20"/>
                <w:szCs w:val="20"/>
              </w:rPr>
              <w:t>签劳动合同形式就业</w:t>
            </w:r>
          </w:p>
        </w:tc>
        <w:tc>
          <w:tcPr>
            <w:tcW w:w="715" w:type="dxa"/>
            <w:tcBorders>
              <w:top w:val="nil"/>
              <w:left w:val="nil"/>
              <w:bottom w:val="nil"/>
              <w:right w:val="single" w:color="FFFFFF" w:sz="12" w:space="0"/>
            </w:tcBorders>
            <w:shd w:val="clear" w:color="000000" w:fill="2350A0"/>
            <w:noWrap w:val="0"/>
            <w:vAlign w:val="center"/>
          </w:tcPr>
          <w:p>
            <w:pPr>
              <w:widowControl/>
              <w:spacing w:line="320" w:lineRule="exact"/>
              <w:jc w:val="center"/>
              <w:rPr>
                <w:rFonts w:ascii="Calibri" w:hAnsi="Calibri" w:cs="宋体"/>
                <w:b/>
                <w:bCs/>
                <w:color w:val="FFFFFF"/>
                <w:kern w:val="0"/>
                <w:sz w:val="20"/>
                <w:szCs w:val="20"/>
              </w:rPr>
            </w:pPr>
            <w:r>
              <w:rPr>
                <w:rFonts w:ascii="Calibri" w:hAnsi="Calibri" w:cs="宋体"/>
                <w:b/>
                <w:bCs/>
                <w:color w:val="FFFFFF"/>
                <w:kern w:val="0"/>
                <w:sz w:val="20"/>
                <w:szCs w:val="20"/>
              </w:rPr>
              <w:t>其他录用形式就业</w:t>
            </w:r>
          </w:p>
        </w:tc>
        <w:tc>
          <w:tcPr>
            <w:tcW w:w="716" w:type="dxa"/>
            <w:tcBorders>
              <w:top w:val="nil"/>
              <w:left w:val="nil"/>
              <w:bottom w:val="nil"/>
              <w:right w:val="single" w:color="FFFFFF" w:sz="12" w:space="0"/>
            </w:tcBorders>
            <w:shd w:val="clear" w:color="000000" w:fill="2350A0"/>
            <w:noWrap/>
            <w:vAlign w:val="center"/>
          </w:tcPr>
          <w:p>
            <w:pPr>
              <w:widowControl/>
              <w:spacing w:line="320" w:lineRule="exact"/>
              <w:jc w:val="center"/>
              <w:rPr>
                <w:rFonts w:ascii="Calibri" w:hAnsi="Calibri" w:cs="宋体"/>
                <w:b/>
                <w:bCs/>
                <w:color w:val="FFFFFF"/>
                <w:kern w:val="0"/>
                <w:sz w:val="20"/>
                <w:szCs w:val="20"/>
              </w:rPr>
            </w:pPr>
            <w:r>
              <w:rPr>
                <w:rFonts w:ascii="Calibri" w:hAnsi="Calibri" w:cs="宋体"/>
                <w:b/>
                <w:bCs/>
                <w:color w:val="FFFFFF"/>
                <w:kern w:val="0"/>
                <w:sz w:val="20"/>
                <w:szCs w:val="20"/>
              </w:rPr>
              <w:t>升学</w:t>
            </w:r>
          </w:p>
        </w:tc>
        <w:tc>
          <w:tcPr>
            <w:tcW w:w="716" w:type="dxa"/>
            <w:tcBorders>
              <w:top w:val="nil"/>
              <w:left w:val="nil"/>
              <w:bottom w:val="nil"/>
              <w:right w:val="single" w:color="FFFFFF" w:sz="12" w:space="0"/>
            </w:tcBorders>
            <w:shd w:val="clear" w:color="000000" w:fill="2350A0"/>
            <w:noWrap w:val="0"/>
            <w:vAlign w:val="center"/>
          </w:tcPr>
          <w:p>
            <w:pPr>
              <w:widowControl/>
              <w:spacing w:line="320" w:lineRule="exact"/>
              <w:jc w:val="center"/>
              <w:rPr>
                <w:rFonts w:ascii="Calibri" w:hAnsi="Calibri" w:cs="宋体"/>
                <w:b/>
                <w:bCs/>
                <w:color w:val="FFFFFF"/>
                <w:kern w:val="0"/>
                <w:sz w:val="20"/>
                <w:szCs w:val="20"/>
              </w:rPr>
            </w:pPr>
            <w:r>
              <w:rPr>
                <w:rFonts w:ascii="Calibri" w:hAnsi="Calibri" w:cs="宋体"/>
                <w:b/>
                <w:bCs/>
                <w:color w:val="FFFFFF"/>
                <w:kern w:val="0"/>
                <w:sz w:val="20"/>
                <w:szCs w:val="20"/>
              </w:rPr>
              <w:t>出国、出境</w:t>
            </w:r>
          </w:p>
        </w:tc>
        <w:tc>
          <w:tcPr>
            <w:tcW w:w="715" w:type="dxa"/>
            <w:tcBorders>
              <w:top w:val="nil"/>
              <w:left w:val="nil"/>
              <w:bottom w:val="nil"/>
              <w:right w:val="single" w:color="FFFFFF" w:sz="12" w:space="0"/>
            </w:tcBorders>
            <w:shd w:val="clear" w:color="000000" w:fill="2350A0"/>
            <w:noWrap w:val="0"/>
            <w:vAlign w:val="center"/>
          </w:tcPr>
          <w:p>
            <w:pPr>
              <w:widowControl/>
              <w:spacing w:line="320" w:lineRule="exact"/>
              <w:jc w:val="center"/>
              <w:rPr>
                <w:rFonts w:ascii="Calibri" w:hAnsi="Calibri" w:cs="宋体"/>
                <w:b/>
                <w:bCs/>
                <w:color w:val="FFFFFF"/>
                <w:kern w:val="0"/>
                <w:sz w:val="20"/>
                <w:szCs w:val="20"/>
              </w:rPr>
            </w:pPr>
            <w:r>
              <w:rPr>
                <w:rFonts w:ascii="Calibri" w:hAnsi="Calibri" w:cs="宋体"/>
                <w:b/>
                <w:bCs/>
                <w:color w:val="FFFFFF"/>
                <w:kern w:val="0"/>
                <w:sz w:val="20"/>
                <w:szCs w:val="20"/>
              </w:rPr>
              <w:t>应征义务兵</w:t>
            </w:r>
          </w:p>
        </w:tc>
        <w:tc>
          <w:tcPr>
            <w:tcW w:w="716" w:type="dxa"/>
            <w:tcBorders>
              <w:top w:val="nil"/>
              <w:left w:val="nil"/>
              <w:bottom w:val="nil"/>
              <w:right w:val="single" w:color="FFFFFF" w:sz="12" w:space="0"/>
            </w:tcBorders>
            <w:shd w:val="clear" w:color="000000" w:fill="2350A0"/>
            <w:noWrap/>
            <w:vAlign w:val="center"/>
          </w:tcPr>
          <w:p>
            <w:pPr>
              <w:widowControl/>
              <w:spacing w:line="320" w:lineRule="exact"/>
              <w:jc w:val="center"/>
              <w:rPr>
                <w:rFonts w:ascii="Calibri" w:hAnsi="Calibri" w:cs="宋体"/>
                <w:b/>
                <w:bCs/>
                <w:color w:val="FFFFFF"/>
                <w:kern w:val="0"/>
                <w:sz w:val="20"/>
                <w:szCs w:val="20"/>
              </w:rPr>
            </w:pPr>
            <w:r>
              <w:rPr>
                <w:rFonts w:ascii="Calibri" w:hAnsi="Calibri" w:cs="宋体"/>
                <w:b/>
                <w:bCs/>
                <w:color w:val="FFFFFF"/>
                <w:kern w:val="0"/>
                <w:sz w:val="20"/>
                <w:szCs w:val="20"/>
              </w:rPr>
              <w:t>自由职业</w:t>
            </w:r>
          </w:p>
        </w:tc>
        <w:tc>
          <w:tcPr>
            <w:tcW w:w="715" w:type="dxa"/>
            <w:tcBorders>
              <w:top w:val="nil"/>
              <w:left w:val="nil"/>
              <w:bottom w:val="nil"/>
              <w:right w:val="single" w:color="FFFFFF" w:sz="12" w:space="0"/>
            </w:tcBorders>
            <w:shd w:val="clear" w:color="000000" w:fill="2350A0"/>
            <w:noWrap/>
            <w:vAlign w:val="center"/>
          </w:tcPr>
          <w:p>
            <w:pPr>
              <w:widowControl/>
              <w:spacing w:line="320" w:lineRule="exact"/>
              <w:jc w:val="center"/>
              <w:rPr>
                <w:rFonts w:ascii="Calibri" w:hAnsi="Calibri" w:cs="宋体"/>
                <w:b/>
                <w:bCs/>
                <w:color w:val="FFFFFF"/>
                <w:kern w:val="0"/>
                <w:sz w:val="20"/>
                <w:szCs w:val="20"/>
              </w:rPr>
            </w:pPr>
            <w:r>
              <w:rPr>
                <w:rFonts w:ascii="Calibri" w:hAnsi="Calibri" w:cs="宋体"/>
                <w:b/>
                <w:bCs/>
                <w:color w:val="FFFFFF"/>
                <w:kern w:val="0"/>
                <w:sz w:val="20"/>
                <w:szCs w:val="20"/>
              </w:rPr>
              <w:t>自主创业</w:t>
            </w:r>
          </w:p>
        </w:tc>
        <w:tc>
          <w:tcPr>
            <w:tcW w:w="716" w:type="dxa"/>
            <w:tcBorders>
              <w:top w:val="nil"/>
              <w:left w:val="nil"/>
              <w:bottom w:val="nil"/>
              <w:right w:val="single" w:color="FFFFFF" w:sz="12" w:space="0"/>
            </w:tcBorders>
            <w:shd w:val="clear" w:color="000000" w:fill="2350A0"/>
            <w:noWrap w:val="0"/>
            <w:vAlign w:val="center"/>
          </w:tcPr>
          <w:p>
            <w:pPr>
              <w:widowControl/>
              <w:spacing w:line="320" w:lineRule="exact"/>
              <w:jc w:val="center"/>
              <w:rPr>
                <w:rFonts w:ascii="Calibri" w:hAnsi="Calibri" w:cs="宋体"/>
                <w:b/>
                <w:bCs/>
                <w:color w:val="FFFFFF"/>
                <w:kern w:val="0"/>
                <w:sz w:val="20"/>
                <w:szCs w:val="20"/>
              </w:rPr>
            </w:pPr>
            <w:r>
              <w:rPr>
                <w:rFonts w:ascii="Calibri" w:hAnsi="Calibri" w:cs="宋体"/>
                <w:b/>
                <w:bCs/>
                <w:color w:val="FFFFFF"/>
                <w:kern w:val="0"/>
                <w:sz w:val="20"/>
                <w:szCs w:val="20"/>
              </w:rPr>
              <w:t>不就业拟升学</w:t>
            </w:r>
          </w:p>
        </w:tc>
        <w:tc>
          <w:tcPr>
            <w:tcW w:w="716" w:type="dxa"/>
            <w:tcBorders>
              <w:top w:val="nil"/>
              <w:left w:val="nil"/>
              <w:bottom w:val="nil"/>
              <w:right w:val="single" w:color="FFFFFF" w:sz="12" w:space="0"/>
            </w:tcBorders>
            <w:shd w:val="clear" w:color="000000" w:fill="2350A0"/>
            <w:noWrap/>
            <w:vAlign w:val="center"/>
          </w:tcPr>
          <w:p>
            <w:pPr>
              <w:widowControl/>
              <w:spacing w:line="320" w:lineRule="exact"/>
              <w:jc w:val="center"/>
              <w:rPr>
                <w:rFonts w:ascii="Calibri" w:hAnsi="Calibri" w:cs="宋体"/>
                <w:b/>
                <w:bCs/>
                <w:color w:val="FFFFFF"/>
                <w:kern w:val="0"/>
                <w:sz w:val="20"/>
                <w:szCs w:val="20"/>
              </w:rPr>
            </w:pPr>
            <w:r>
              <w:rPr>
                <w:rFonts w:ascii="Calibri" w:hAnsi="Calibri" w:cs="宋体"/>
                <w:b/>
                <w:bCs/>
                <w:color w:val="FFFFFF"/>
                <w:kern w:val="0"/>
                <w:sz w:val="20"/>
                <w:szCs w:val="20"/>
              </w:rPr>
              <w:t>待就业</w:t>
            </w:r>
          </w:p>
        </w:tc>
      </w:tr>
      <w:tr>
        <w:tblPrEx>
          <w:tblCellMar>
            <w:top w:w="0" w:type="dxa"/>
            <w:left w:w="108" w:type="dxa"/>
            <w:bottom w:w="0" w:type="dxa"/>
            <w:right w:w="108" w:type="dxa"/>
          </w:tblCellMar>
        </w:tblPrEx>
        <w:trPr>
          <w:trHeight w:val="270" w:hRule="atLeast"/>
          <w:jc w:val="center"/>
        </w:trPr>
        <w:tc>
          <w:tcPr>
            <w:tcW w:w="1734" w:type="dxa"/>
            <w:tcBorders>
              <w:top w:val="nil"/>
              <w:left w:val="nil"/>
              <w:bottom w:val="nil"/>
              <w:right w:val="nil"/>
            </w:tcBorders>
            <w:shd w:val="clear" w:color="000000" w:fill="FFFFFF"/>
            <w:noWrap/>
            <w:vAlign w:val="center"/>
          </w:tcPr>
          <w:p>
            <w:pPr>
              <w:widowControl/>
              <w:spacing w:line="320" w:lineRule="exact"/>
              <w:jc w:val="left"/>
              <w:rPr>
                <w:rFonts w:ascii="Calibri" w:hAnsi="Calibri" w:cs="宋体"/>
                <w:color w:val="000000"/>
                <w:kern w:val="0"/>
                <w:sz w:val="20"/>
                <w:szCs w:val="20"/>
              </w:rPr>
            </w:pPr>
            <w:r>
              <w:rPr>
                <w:rFonts w:ascii="Calibri" w:hAnsi="Calibri" w:cs="宋体"/>
                <w:color w:val="000000"/>
                <w:kern w:val="0"/>
                <w:sz w:val="20"/>
                <w:szCs w:val="20"/>
              </w:rPr>
              <w:t>首饰设计与工艺</w:t>
            </w:r>
          </w:p>
        </w:tc>
        <w:tc>
          <w:tcPr>
            <w:tcW w:w="715" w:type="dxa"/>
            <w:tcBorders>
              <w:top w:val="nil"/>
              <w:left w:val="nil"/>
              <w:bottom w:val="nil"/>
              <w:right w:val="nil"/>
            </w:tcBorders>
            <w:shd w:val="clear" w:color="000000" w:fill="FFFFFF"/>
            <w:noWrap/>
            <w:vAlign w:val="center"/>
          </w:tcPr>
          <w:p>
            <w:pPr>
              <w:widowControl/>
              <w:spacing w:line="320" w:lineRule="exact"/>
              <w:jc w:val="center"/>
              <w:rPr>
                <w:rFonts w:ascii="Calibri" w:hAnsi="Calibri" w:cs="宋体"/>
                <w:color w:val="000000"/>
                <w:kern w:val="0"/>
                <w:sz w:val="20"/>
                <w:szCs w:val="20"/>
              </w:rPr>
            </w:pPr>
            <w:r>
              <w:rPr>
                <w:rFonts w:ascii="Calibri" w:hAnsi="Calibri" w:cs="宋体"/>
                <w:color w:val="000000"/>
                <w:kern w:val="0"/>
                <w:sz w:val="20"/>
                <w:szCs w:val="20"/>
              </w:rPr>
              <w:t>82.4</w:t>
            </w:r>
          </w:p>
        </w:tc>
        <w:tc>
          <w:tcPr>
            <w:tcW w:w="716" w:type="dxa"/>
            <w:tcBorders>
              <w:top w:val="nil"/>
              <w:left w:val="nil"/>
              <w:bottom w:val="nil"/>
              <w:right w:val="nil"/>
            </w:tcBorders>
            <w:shd w:val="clear" w:color="000000" w:fill="FFFFFF"/>
            <w:noWrap/>
            <w:vAlign w:val="center"/>
          </w:tcPr>
          <w:p>
            <w:pPr>
              <w:widowControl/>
              <w:spacing w:line="320" w:lineRule="exact"/>
              <w:jc w:val="center"/>
              <w:rPr>
                <w:rFonts w:ascii="Calibri" w:hAnsi="Calibri" w:cs="宋体"/>
                <w:color w:val="000000"/>
                <w:kern w:val="0"/>
                <w:sz w:val="20"/>
                <w:szCs w:val="20"/>
              </w:rPr>
            </w:pPr>
            <w:r>
              <w:rPr>
                <w:rFonts w:ascii="Calibri" w:hAnsi="Calibri" w:cs="宋体"/>
                <w:color w:val="000000"/>
                <w:kern w:val="0"/>
                <w:sz w:val="20"/>
                <w:szCs w:val="20"/>
              </w:rPr>
              <w:t>11.8</w:t>
            </w:r>
          </w:p>
        </w:tc>
        <w:tc>
          <w:tcPr>
            <w:tcW w:w="715" w:type="dxa"/>
            <w:tcBorders>
              <w:top w:val="nil"/>
              <w:left w:val="nil"/>
              <w:bottom w:val="nil"/>
              <w:right w:val="nil"/>
            </w:tcBorders>
            <w:shd w:val="clear" w:color="000000" w:fill="FFFFFF"/>
            <w:noWrap/>
            <w:vAlign w:val="center"/>
          </w:tcPr>
          <w:p>
            <w:pPr>
              <w:widowControl/>
              <w:spacing w:line="320" w:lineRule="exact"/>
              <w:jc w:val="center"/>
              <w:rPr>
                <w:rFonts w:ascii="Calibri" w:hAnsi="Calibri" w:cs="宋体"/>
                <w:color w:val="000000"/>
                <w:kern w:val="0"/>
                <w:sz w:val="20"/>
                <w:szCs w:val="20"/>
              </w:rPr>
            </w:pPr>
            <w:r>
              <w:rPr>
                <w:rFonts w:ascii="Calibri" w:hAnsi="Calibri" w:cs="宋体"/>
                <w:color w:val="000000"/>
                <w:kern w:val="0"/>
                <w:sz w:val="20"/>
                <w:szCs w:val="20"/>
              </w:rPr>
              <w:t>0.0</w:t>
            </w:r>
          </w:p>
        </w:tc>
        <w:tc>
          <w:tcPr>
            <w:tcW w:w="716" w:type="dxa"/>
            <w:tcBorders>
              <w:top w:val="nil"/>
              <w:left w:val="nil"/>
              <w:bottom w:val="nil"/>
              <w:right w:val="nil"/>
            </w:tcBorders>
            <w:shd w:val="clear" w:color="000000" w:fill="FFFFFF"/>
            <w:noWrap/>
            <w:vAlign w:val="center"/>
          </w:tcPr>
          <w:p>
            <w:pPr>
              <w:widowControl/>
              <w:spacing w:line="320" w:lineRule="exact"/>
              <w:jc w:val="center"/>
              <w:rPr>
                <w:rFonts w:ascii="Calibri" w:hAnsi="Calibri" w:cs="宋体"/>
                <w:color w:val="000000"/>
                <w:kern w:val="0"/>
                <w:sz w:val="20"/>
                <w:szCs w:val="20"/>
              </w:rPr>
            </w:pPr>
            <w:r>
              <w:rPr>
                <w:rFonts w:ascii="Calibri" w:hAnsi="Calibri" w:cs="宋体"/>
                <w:color w:val="000000"/>
                <w:kern w:val="0"/>
                <w:sz w:val="20"/>
                <w:szCs w:val="20"/>
              </w:rPr>
              <w:t>0.0</w:t>
            </w:r>
          </w:p>
        </w:tc>
        <w:tc>
          <w:tcPr>
            <w:tcW w:w="716" w:type="dxa"/>
            <w:tcBorders>
              <w:top w:val="nil"/>
              <w:left w:val="nil"/>
              <w:bottom w:val="nil"/>
              <w:right w:val="nil"/>
            </w:tcBorders>
            <w:shd w:val="clear" w:color="000000" w:fill="FFFFFF"/>
            <w:noWrap/>
            <w:vAlign w:val="center"/>
          </w:tcPr>
          <w:p>
            <w:pPr>
              <w:widowControl/>
              <w:spacing w:line="320" w:lineRule="exact"/>
              <w:jc w:val="center"/>
              <w:rPr>
                <w:rFonts w:ascii="Calibri" w:hAnsi="Calibri" w:cs="宋体"/>
                <w:color w:val="000000"/>
                <w:kern w:val="0"/>
                <w:sz w:val="20"/>
                <w:szCs w:val="20"/>
              </w:rPr>
            </w:pPr>
            <w:r>
              <w:rPr>
                <w:rFonts w:ascii="Calibri" w:hAnsi="Calibri" w:cs="宋体"/>
                <w:color w:val="000000"/>
                <w:kern w:val="0"/>
                <w:sz w:val="20"/>
                <w:szCs w:val="20"/>
              </w:rPr>
              <w:t>0.0</w:t>
            </w:r>
          </w:p>
        </w:tc>
        <w:tc>
          <w:tcPr>
            <w:tcW w:w="715" w:type="dxa"/>
            <w:tcBorders>
              <w:top w:val="nil"/>
              <w:left w:val="nil"/>
              <w:bottom w:val="nil"/>
              <w:right w:val="nil"/>
            </w:tcBorders>
            <w:shd w:val="clear" w:color="000000" w:fill="FFFFFF"/>
            <w:noWrap/>
            <w:vAlign w:val="center"/>
          </w:tcPr>
          <w:p>
            <w:pPr>
              <w:widowControl/>
              <w:spacing w:line="320" w:lineRule="exact"/>
              <w:jc w:val="center"/>
              <w:rPr>
                <w:rFonts w:ascii="Calibri" w:hAnsi="Calibri" w:cs="宋体"/>
                <w:color w:val="000000"/>
                <w:kern w:val="0"/>
                <w:sz w:val="20"/>
                <w:szCs w:val="20"/>
              </w:rPr>
            </w:pPr>
            <w:r>
              <w:rPr>
                <w:rFonts w:ascii="Calibri" w:hAnsi="Calibri" w:cs="宋体"/>
                <w:color w:val="000000"/>
                <w:kern w:val="0"/>
                <w:sz w:val="20"/>
                <w:szCs w:val="20"/>
              </w:rPr>
              <w:t>0.0</w:t>
            </w:r>
          </w:p>
        </w:tc>
        <w:tc>
          <w:tcPr>
            <w:tcW w:w="716" w:type="dxa"/>
            <w:tcBorders>
              <w:top w:val="nil"/>
              <w:left w:val="nil"/>
              <w:bottom w:val="nil"/>
              <w:right w:val="nil"/>
            </w:tcBorders>
            <w:shd w:val="clear" w:color="000000" w:fill="FFFFFF"/>
            <w:noWrap/>
            <w:vAlign w:val="center"/>
          </w:tcPr>
          <w:p>
            <w:pPr>
              <w:widowControl/>
              <w:spacing w:line="320" w:lineRule="exact"/>
              <w:jc w:val="center"/>
              <w:rPr>
                <w:rFonts w:ascii="Calibri" w:hAnsi="Calibri" w:cs="宋体"/>
                <w:color w:val="000000"/>
                <w:kern w:val="0"/>
                <w:sz w:val="20"/>
                <w:szCs w:val="20"/>
              </w:rPr>
            </w:pPr>
            <w:r>
              <w:rPr>
                <w:rFonts w:ascii="Calibri" w:hAnsi="Calibri" w:cs="宋体"/>
                <w:color w:val="000000"/>
                <w:kern w:val="0"/>
                <w:sz w:val="20"/>
                <w:szCs w:val="20"/>
              </w:rPr>
              <w:t>0.0</w:t>
            </w:r>
          </w:p>
        </w:tc>
        <w:tc>
          <w:tcPr>
            <w:tcW w:w="715" w:type="dxa"/>
            <w:tcBorders>
              <w:top w:val="nil"/>
              <w:left w:val="nil"/>
              <w:bottom w:val="nil"/>
              <w:right w:val="nil"/>
            </w:tcBorders>
            <w:shd w:val="clear" w:color="000000" w:fill="FFFFFF"/>
            <w:noWrap/>
            <w:vAlign w:val="center"/>
          </w:tcPr>
          <w:p>
            <w:pPr>
              <w:widowControl/>
              <w:spacing w:line="320" w:lineRule="exact"/>
              <w:jc w:val="center"/>
              <w:rPr>
                <w:rFonts w:ascii="Calibri" w:hAnsi="Calibri" w:cs="宋体"/>
                <w:color w:val="000000"/>
                <w:kern w:val="0"/>
                <w:sz w:val="20"/>
                <w:szCs w:val="20"/>
              </w:rPr>
            </w:pPr>
            <w:r>
              <w:rPr>
                <w:rFonts w:ascii="Calibri" w:hAnsi="Calibri" w:cs="宋体"/>
                <w:color w:val="000000"/>
                <w:kern w:val="0"/>
                <w:sz w:val="20"/>
                <w:szCs w:val="20"/>
              </w:rPr>
              <w:t>0.0</w:t>
            </w:r>
          </w:p>
        </w:tc>
        <w:tc>
          <w:tcPr>
            <w:tcW w:w="716" w:type="dxa"/>
            <w:tcBorders>
              <w:top w:val="nil"/>
              <w:left w:val="nil"/>
              <w:bottom w:val="nil"/>
              <w:right w:val="nil"/>
            </w:tcBorders>
            <w:shd w:val="clear" w:color="000000" w:fill="FFFFFF"/>
            <w:noWrap/>
            <w:vAlign w:val="center"/>
          </w:tcPr>
          <w:p>
            <w:pPr>
              <w:widowControl/>
              <w:spacing w:line="320" w:lineRule="exact"/>
              <w:jc w:val="center"/>
              <w:rPr>
                <w:rFonts w:ascii="Calibri" w:hAnsi="Calibri" w:cs="宋体"/>
                <w:color w:val="000000"/>
                <w:kern w:val="0"/>
                <w:sz w:val="20"/>
                <w:szCs w:val="20"/>
              </w:rPr>
            </w:pPr>
            <w:r>
              <w:rPr>
                <w:rFonts w:ascii="Calibri" w:hAnsi="Calibri" w:cs="宋体"/>
                <w:color w:val="000000"/>
                <w:kern w:val="0"/>
                <w:sz w:val="20"/>
                <w:szCs w:val="20"/>
              </w:rPr>
              <w:t>0.0</w:t>
            </w:r>
          </w:p>
        </w:tc>
        <w:tc>
          <w:tcPr>
            <w:tcW w:w="716" w:type="dxa"/>
            <w:tcBorders>
              <w:top w:val="nil"/>
              <w:left w:val="nil"/>
              <w:bottom w:val="nil"/>
              <w:right w:val="nil"/>
            </w:tcBorders>
            <w:shd w:val="clear" w:color="000000" w:fill="FFFFFF"/>
            <w:noWrap/>
            <w:vAlign w:val="center"/>
          </w:tcPr>
          <w:p>
            <w:pPr>
              <w:widowControl/>
              <w:spacing w:line="320" w:lineRule="exact"/>
              <w:jc w:val="center"/>
              <w:rPr>
                <w:rFonts w:ascii="Calibri" w:hAnsi="Calibri" w:cs="宋体"/>
                <w:color w:val="000000"/>
                <w:kern w:val="0"/>
                <w:sz w:val="20"/>
                <w:szCs w:val="20"/>
              </w:rPr>
            </w:pPr>
            <w:r>
              <w:rPr>
                <w:rFonts w:ascii="Calibri" w:hAnsi="Calibri" w:cs="宋体"/>
                <w:color w:val="000000"/>
                <w:kern w:val="0"/>
                <w:sz w:val="20"/>
                <w:szCs w:val="20"/>
              </w:rPr>
              <w:t>5.9</w:t>
            </w:r>
          </w:p>
        </w:tc>
      </w:tr>
      <w:tr>
        <w:tblPrEx>
          <w:tblCellMar>
            <w:top w:w="0" w:type="dxa"/>
            <w:left w:w="108" w:type="dxa"/>
            <w:bottom w:w="0" w:type="dxa"/>
            <w:right w:w="108" w:type="dxa"/>
          </w:tblCellMar>
        </w:tblPrEx>
        <w:trPr>
          <w:trHeight w:val="270" w:hRule="atLeast"/>
          <w:jc w:val="center"/>
        </w:trPr>
        <w:tc>
          <w:tcPr>
            <w:tcW w:w="1734" w:type="dxa"/>
            <w:tcBorders>
              <w:top w:val="nil"/>
              <w:left w:val="nil"/>
              <w:bottom w:val="nil"/>
              <w:right w:val="nil"/>
            </w:tcBorders>
            <w:shd w:val="clear" w:color="000000" w:fill="BEEDF8"/>
            <w:noWrap/>
            <w:vAlign w:val="center"/>
          </w:tcPr>
          <w:p>
            <w:pPr>
              <w:widowControl/>
              <w:spacing w:line="320" w:lineRule="exact"/>
              <w:jc w:val="left"/>
              <w:rPr>
                <w:rFonts w:ascii="Calibri" w:hAnsi="Calibri" w:cs="宋体"/>
                <w:color w:val="000000"/>
                <w:kern w:val="0"/>
                <w:sz w:val="20"/>
                <w:szCs w:val="20"/>
              </w:rPr>
            </w:pPr>
            <w:r>
              <w:rPr>
                <w:rFonts w:ascii="Calibri" w:hAnsi="Calibri" w:cs="宋体"/>
                <w:color w:val="000000"/>
                <w:kern w:val="0"/>
                <w:sz w:val="20"/>
                <w:szCs w:val="20"/>
              </w:rPr>
              <w:t>旅游管理（航天旅游文化）</w:t>
            </w:r>
          </w:p>
        </w:tc>
        <w:tc>
          <w:tcPr>
            <w:tcW w:w="715" w:type="dxa"/>
            <w:tcBorders>
              <w:top w:val="nil"/>
              <w:left w:val="nil"/>
              <w:bottom w:val="nil"/>
              <w:right w:val="nil"/>
            </w:tcBorders>
            <w:shd w:val="clear" w:color="000000" w:fill="BEEDF8"/>
            <w:noWrap/>
            <w:vAlign w:val="center"/>
          </w:tcPr>
          <w:p>
            <w:pPr>
              <w:widowControl/>
              <w:spacing w:line="320" w:lineRule="exact"/>
              <w:jc w:val="center"/>
              <w:rPr>
                <w:rFonts w:ascii="Calibri" w:hAnsi="Calibri" w:cs="宋体"/>
                <w:color w:val="000000"/>
                <w:kern w:val="0"/>
                <w:sz w:val="20"/>
                <w:szCs w:val="20"/>
              </w:rPr>
            </w:pPr>
            <w:r>
              <w:rPr>
                <w:rFonts w:ascii="Calibri" w:hAnsi="Calibri" w:cs="宋体"/>
                <w:color w:val="000000"/>
                <w:kern w:val="0"/>
                <w:sz w:val="20"/>
                <w:szCs w:val="20"/>
              </w:rPr>
              <w:t>80.0</w:t>
            </w:r>
          </w:p>
        </w:tc>
        <w:tc>
          <w:tcPr>
            <w:tcW w:w="716" w:type="dxa"/>
            <w:tcBorders>
              <w:top w:val="nil"/>
              <w:left w:val="nil"/>
              <w:bottom w:val="nil"/>
              <w:right w:val="nil"/>
            </w:tcBorders>
            <w:shd w:val="clear" w:color="000000" w:fill="BEEDF8"/>
            <w:noWrap/>
            <w:vAlign w:val="center"/>
          </w:tcPr>
          <w:p>
            <w:pPr>
              <w:widowControl/>
              <w:spacing w:line="320" w:lineRule="exact"/>
              <w:jc w:val="center"/>
              <w:rPr>
                <w:rFonts w:ascii="Calibri" w:hAnsi="Calibri" w:cs="宋体"/>
                <w:color w:val="000000"/>
                <w:kern w:val="0"/>
                <w:sz w:val="20"/>
                <w:szCs w:val="20"/>
              </w:rPr>
            </w:pPr>
            <w:r>
              <w:rPr>
                <w:rFonts w:ascii="Calibri" w:hAnsi="Calibri" w:cs="宋体"/>
                <w:color w:val="000000"/>
                <w:kern w:val="0"/>
                <w:sz w:val="20"/>
                <w:szCs w:val="20"/>
              </w:rPr>
              <w:t>10.0</w:t>
            </w:r>
          </w:p>
        </w:tc>
        <w:tc>
          <w:tcPr>
            <w:tcW w:w="715" w:type="dxa"/>
            <w:tcBorders>
              <w:top w:val="nil"/>
              <w:left w:val="nil"/>
              <w:bottom w:val="nil"/>
              <w:right w:val="nil"/>
            </w:tcBorders>
            <w:shd w:val="clear" w:color="000000" w:fill="BEEDF8"/>
            <w:noWrap/>
            <w:vAlign w:val="center"/>
          </w:tcPr>
          <w:p>
            <w:pPr>
              <w:widowControl/>
              <w:spacing w:line="320" w:lineRule="exact"/>
              <w:jc w:val="center"/>
              <w:rPr>
                <w:rFonts w:ascii="Calibri" w:hAnsi="Calibri" w:cs="宋体"/>
                <w:color w:val="000000"/>
                <w:kern w:val="0"/>
                <w:sz w:val="20"/>
                <w:szCs w:val="20"/>
              </w:rPr>
            </w:pPr>
            <w:r>
              <w:rPr>
                <w:rFonts w:ascii="Calibri" w:hAnsi="Calibri" w:cs="宋体"/>
                <w:color w:val="000000"/>
                <w:kern w:val="0"/>
                <w:sz w:val="20"/>
                <w:szCs w:val="20"/>
              </w:rPr>
              <w:t>0.0</w:t>
            </w:r>
          </w:p>
        </w:tc>
        <w:tc>
          <w:tcPr>
            <w:tcW w:w="716" w:type="dxa"/>
            <w:tcBorders>
              <w:top w:val="nil"/>
              <w:left w:val="nil"/>
              <w:bottom w:val="nil"/>
              <w:right w:val="nil"/>
            </w:tcBorders>
            <w:shd w:val="clear" w:color="000000" w:fill="BEEDF8"/>
            <w:noWrap/>
            <w:vAlign w:val="center"/>
          </w:tcPr>
          <w:p>
            <w:pPr>
              <w:widowControl/>
              <w:spacing w:line="320" w:lineRule="exact"/>
              <w:jc w:val="center"/>
              <w:rPr>
                <w:rFonts w:ascii="Calibri" w:hAnsi="Calibri" w:cs="宋体"/>
                <w:color w:val="000000"/>
                <w:kern w:val="0"/>
                <w:sz w:val="20"/>
                <w:szCs w:val="20"/>
              </w:rPr>
            </w:pPr>
            <w:r>
              <w:rPr>
                <w:rFonts w:ascii="Calibri" w:hAnsi="Calibri" w:cs="宋体"/>
                <w:color w:val="000000"/>
                <w:kern w:val="0"/>
                <w:sz w:val="20"/>
                <w:szCs w:val="20"/>
              </w:rPr>
              <w:t>5.0</w:t>
            </w:r>
          </w:p>
        </w:tc>
        <w:tc>
          <w:tcPr>
            <w:tcW w:w="716" w:type="dxa"/>
            <w:tcBorders>
              <w:top w:val="nil"/>
              <w:left w:val="nil"/>
              <w:bottom w:val="nil"/>
              <w:right w:val="nil"/>
            </w:tcBorders>
            <w:shd w:val="clear" w:color="000000" w:fill="BEEDF8"/>
            <w:noWrap/>
            <w:vAlign w:val="center"/>
          </w:tcPr>
          <w:p>
            <w:pPr>
              <w:widowControl/>
              <w:spacing w:line="320" w:lineRule="exact"/>
              <w:jc w:val="center"/>
              <w:rPr>
                <w:rFonts w:ascii="Calibri" w:hAnsi="Calibri" w:cs="宋体"/>
                <w:color w:val="000000"/>
                <w:kern w:val="0"/>
                <w:sz w:val="20"/>
                <w:szCs w:val="20"/>
              </w:rPr>
            </w:pPr>
            <w:r>
              <w:rPr>
                <w:rFonts w:ascii="Calibri" w:hAnsi="Calibri" w:cs="宋体"/>
                <w:color w:val="000000"/>
                <w:kern w:val="0"/>
                <w:sz w:val="20"/>
                <w:szCs w:val="20"/>
              </w:rPr>
              <w:t>0.0</w:t>
            </w:r>
          </w:p>
        </w:tc>
        <w:tc>
          <w:tcPr>
            <w:tcW w:w="715" w:type="dxa"/>
            <w:tcBorders>
              <w:top w:val="nil"/>
              <w:left w:val="nil"/>
              <w:bottom w:val="nil"/>
              <w:right w:val="nil"/>
            </w:tcBorders>
            <w:shd w:val="clear" w:color="000000" w:fill="BEEDF8"/>
            <w:noWrap/>
            <w:vAlign w:val="center"/>
          </w:tcPr>
          <w:p>
            <w:pPr>
              <w:widowControl/>
              <w:spacing w:line="320" w:lineRule="exact"/>
              <w:jc w:val="center"/>
              <w:rPr>
                <w:rFonts w:ascii="Calibri" w:hAnsi="Calibri" w:cs="宋体"/>
                <w:color w:val="000000"/>
                <w:kern w:val="0"/>
                <w:sz w:val="20"/>
                <w:szCs w:val="20"/>
              </w:rPr>
            </w:pPr>
            <w:r>
              <w:rPr>
                <w:rFonts w:ascii="Calibri" w:hAnsi="Calibri" w:cs="宋体"/>
                <w:color w:val="000000"/>
                <w:kern w:val="0"/>
                <w:sz w:val="20"/>
                <w:szCs w:val="20"/>
              </w:rPr>
              <w:t>0.0</w:t>
            </w:r>
          </w:p>
        </w:tc>
        <w:tc>
          <w:tcPr>
            <w:tcW w:w="716" w:type="dxa"/>
            <w:tcBorders>
              <w:top w:val="nil"/>
              <w:left w:val="nil"/>
              <w:bottom w:val="nil"/>
              <w:right w:val="nil"/>
            </w:tcBorders>
            <w:shd w:val="clear" w:color="000000" w:fill="BEEDF8"/>
            <w:noWrap/>
            <w:vAlign w:val="center"/>
          </w:tcPr>
          <w:p>
            <w:pPr>
              <w:widowControl/>
              <w:spacing w:line="320" w:lineRule="exact"/>
              <w:jc w:val="center"/>
              <w:rPr>
                <w:rFonts w:ascii="Calibri" w:hAnsi="Calibri" w:cs="宋体"/>
                <w:color w:val="000000"/>
                <w:kern w:val="0"/>
                <w:sz w:val="20"/>
                <w:szCs w:val="20"/>
              </w:rPr>
            </w:pPr>
            <w:r>
              <w:rPr>
                <w:rFonts w:ascii="Calibri" w:hAnsi="Calibri" w:cs="宋体"/>
                <w:color w:val="000000"/>
                <w:kern w:val="0"/>
                <w:sz w:val="20"/>
                <w:szCs w:val="20"/>
              </w:rPr>
              <w:t>0.0</w:t>
            </w:r>
          </w:p>
        </w:tc>
        <w:tc>
          <w:tcPr>
            <w:tcW w:w="715" w:type="dxa"/>
            <w:tcBorders>
              <w:top w:val="nil"/>
              <w:left w:val="nil"/>
              <w:bottom w:val="nil"/>
              <w:right w:val="nil"/>
            </w:tcBorders>
            <w:shd w:val="clear" w:color="000000" w:fill="BEEDF8"/>
            <w:noWrap/>
            <w:vAlign w:val="center"/>
          </w:tcPr>
          <w:p>
            <w:pPr>
              <w:widowControl/>
              <w:spacing w:line="320" w:lineRule="exact"/>
              <w:jc w:val="center"/>
              <w:rPr>
                <w:rFonts w:ascii="Calibri" w:hAnsi="Calibri" w:cs="宋体"/>
                <w:color w:val="000000"/>
                <w:kern w:val="0"/>
                <w:sz w:val="20"/>
                <w:szCs w:val="20"/>
              </w:rPr>
            </w:pPr>
            <w:r>
              <w:rPr>
                <w:rFonts w:ascii="Calibri" w:hAnsi="Calibri" w:cs="宋体"/>
                <w:color w:val="000000"/>
                <w:kern w:val="0"/>
                <w:sz w:val="20"/>
                <w:szCs w:val="20"/>
              </w:rPr>
              <w:t>0.0</w:t>
            </w:r>
          </w:p>
        </w:tc>
        <w:tc>
          <w:tcPr>
            <w:tcW w:w="716" w:type="dxa"/>
            <w:tcBorders>
              <w:top w:val="nil"/>
              <w:left w:val="nil"/>
              <w:bottom w:val="nil"/>
              <w:right w:val="nil"/>
            </w:tcBorders>
            <w:shd w:val="clear" w:color="000000" w:fill="BEEDF8"/>
            <w:noWrap/>
            <w:vAlign w:val="center"/>
          </w:tcPr>
          <w:p>
            <w:pPr>
              <w:widowControl/>
              <w:spacing w:line="320" w:lineRule="exact"/>
              <w:jc w:val="center"/>
              <w:rPr>
                <w:rFonts w:ascii="Calibri" w:hAnsi="Calibri" w:cs="宋体"/>
                <w:color w:val="000000"/>
                <w:kern w:val="0"/>
                <w:sz w:val="20"/>
                <w:szCs w:val="20"/>
              </w:rPr>
            </w:pPr>
            <w:r>
              <w:rPr>
                <w:rFonts w:ascii="Calibri" w:hAnsi="Calibri" w:cs="宋体"/>
                <w:color w:val="000000"/>
                <w:kern w:val="0"/>
                <w:sz w:val="20"/>
                <w:szCs w:val="20"/>
              </w:rPr>
              <w:t>0.0</w:t>
            </w:r>
          </w:p>
        </w:tc>
        <w:tc>
          <w:tcPr>
            <w:tcW w:w="716" w:type="dxa"/>
            <w:tcBorders>
              <w:top w:val="nil"/>
              <w:left w:val="nil"/>
              <w:bottom w:val="nil"/>
              <w:right w:val="nil"/>
            </w:tcBorders>
            <w:shd w:val="clear" w:color="000000" w:fill="BEEDF8"/>
            <w:noWrap/>
            <w:vAlign w:val="center"/>
          </w:tcPr>
          <w:p>
            <w:pPr>
              <w:widowControl/>
              <w:spacing w:line="320" w:lineRule="exact"/>
              <w:jc w:val="center"/>
              <w:rPr>
                <w:rFonts w:ascii="Calibri" w:hAnsi="Calibri" w:cs="宋体"/>
                <w:color w:val="000000"/>
                <w:kern w:val="0"/>
                <w:sz w:val="20"/>
                <w:szCs w:val="20"/>
              </w:rPr>
            </w:pPr>
            <w:r>
              <w:rPr>
                <w:rFonts w:ascii="Calibri" w:hAnsi="Calibri" w:cs="宋体"/>
                <w:color w:val="000000"/>
                <w:kern w:val="0"/>
                <w:sz w:val="20"/>
                <w:szCs w:val="20"/>
              </w:rPr>
              <w:t>5.0</w:t>
            </w:r>
          </w:p>
        </w:tc>
      </w:tr>
      <w:tr>
        <w:tblPrEx>
          <w:tblCellMar>
            <w:top w:w="0" w:type="dxa"/>
            <w:left w:w="108" w:type="dxa"/>
            <w:bottom w:w="0" w:type="dxa"/>
            <w:right w:w="108" w:type="dxa"/>
          </w:tblCellMar>
        </w:tblPrEx>
        <w:trPr>
          <w:trHeight w:val="270" w:hRule="atLeast"/>
          <w:jc w:val="center"/>
        </w:trPr>
        <w:tc>
          <w:tcPr>
            <w:tcW w:w="1734" w:type="dxa"/>
            <w:tcBorders>
              <w:top w:val="nil"/>
              <w:left w:val="nil"/>
              <w:bottom w:val="nil"/>
              <w:right w:val="nil"/>
            </w:tcBorders>
            <w:shd w:val="clear" w:color="000000" w:fill="FFFFFF"/>
            <w:noWrap/>
            <w:vAlign w:val="center"/>
          </w:tcPr>
          <w:p>
            <w:pPr>
              <w:widowControl/>
              <w:spacing w:line="320" w:lineRule="exact"/>
              <w:jc w:val="left"/>
              <w:rPr>
                <w:rFonts w:ascii="Calibri" w:hAnsi="Calibri" w:cs="宋体"/>
                <w:color w:val="000000"/>
                <w:kern w:val="0"/>
                <w:sz w:val="20"/>
                <w:szCs w:val="20"/>
              </w:rPr>
            </w:pPr>
            <w:r>
              <w:rPr>
                <w:rFonts w:ascii="Calibri" w:hAnsi="Calibri" w:cs="宋体"/>
                <w:color w:val="000000"/>
                <w:kern w:val="0"/>
                <w:sz w:val="20"/>
                <w:szCs w:val="20"/>
              </w:rPr>
              <w:t>烹调工艺与营养</w:t>
            </w:r>
          </w:p>
        </w:tc>
        <w:tc>
          <w:tcPr>
            <w:tcW w:w="715" w:type="dxa"/>
            <w:tcBorders>
              <w:top w:val="nil"/>
              <w:left w:val="nil"/>
              <w:bottom w:val="nil"/>
              <w:right w:val="nil"/>
            </w:tcBorders>
            <w:shd w:val="clear" w:color="000000" w:fill="FFFFFF"/>
            <w:noWrap/>
            <w:vAlign w:val="center"/>
          </w:tcPr>
          <w:p>
            <w:pPr>
              <w:widowControl/>
              <w:spacing w:line="320" w:lineRule="exact"/>
              <w:jc w:val="center"/>
              <w:rPr>
                <w:rFonts w:ascii="Calibri" w:hAnsi="Calibri" w:cs="宋体"/>
                <w:color w:val="000000"/>
                <w:kern w:val="0"/>
                <w:sz w:val="20"/>
                <w:szCs w:val="20"/>
              </w:rPr>
            </w:pPr>
            <w:r>
              <w:rPr>
                <w:rFonts w:ascii="Calibri" w:hAnsi="Calibri" w:cs="宋体"/>
                <w:color w:val="000000"/>
                <w:kern w:val="0"/>
                <w:sz w:val="20"/>
                <w:szCs w:val="20"/>
              </w:rPr>
              <w:t>71.4</w:t>
            </w:r>
          </w:p>
        </w:tc>
        <w:tc>
          <w:tcPr>
            <w:tcW w:w="716" w:type="dxa"/>
            <w:tcBorders>
              <w:top w:val="nil"/>
              <w:left w:val="nil"/>
              <w:bottom w:val="nil"/>
              <w:right w:val="nil"/>
            </w:tcBorders>
            <w:shd w:val="clear" w:color="000000" w:fill="FFFFFF"/>
            <w:noWrap/>
            <w:vAlign w:val="center"/>
          </w:tcPr>
          <w:p>
            <w:pPr>
              <w:widowControl/>
              <w:spacing w:line="320" w:lineRule="exact"/>
              <w:jc w:val="center"/>
              <w:rPr>
                <w:rFonts w:ascii="Calibri" w:hAnsi="Calibri" w:cs="宋体"/>
                <w:color w:val="000000"/>
                <w:kern w:val="0"/>
                <w:sz w:val="20"/>
                <w:szCs w:val="20"/>
              </w:rPr>
            </w:pPr>
            <w:r>
              <w:rPr>
                <w:rFonts w:ascii="Calibri" w:hAnsi="Calibri" w:cs="宋体"/>
                <w:color w:val="000000"/>
                <w:kern w:val="0"/>
                <w:sz w:val="20"/>
                <w:szCs w:val="20"/>
              </w:rPr>
              <w:t>9.5</w:t>
            </w:r>
          </w:p>
        </w:tc>
        <w:tc>
          <w:tcPr>
            <w:tcW w:w="715" w:type="dxa"/>
            <w:tcBorders>
              <w:top w:val="nil"/>
              <w:left w:val="nil"/>
              <w:bottom w:val="nil"/>
              <w:right w:val="nil"/>
            </w:tcBorders>
            <w:shd w:val="clear" w:color="000000" w:fill="FFFFFF"/>
            <w:noWrap/>
            <w:vAlign w:val="center"/>
          </w:tcPr>
          <w:p>
            <w:pPr>
              <w:widowControl/>
              <w:spacing w:line="320" w:lineRule="exact"/>
              <w:jc w:val="center"/>
              <w:rPr>
                <w:rFonts w:ascii="Calibri" w:hAnsi="Calibri" w:cs="宋体"/>
                <w:color w:val="000000"/>
                <w:kern w:val="0"/>
                <w:sz w:val="20"/>
                <w:szCs w:val="20"/>
              </w:rPr>
            </w:pPr>
            <w:r>
              <w:rPr>
                <w:rFonts w:ascii="Calibri" w:hAnsi="Calibri" w:cs="宋体"/>
                <w:color w:val="000000"/>
                <w:kern w:val="0"/>
                <w:sz w:val="20"/>
                <w:szCs w:val="20"/>
              </w:rPr>
              <w:t>9.5</w:t>
            </w:r>
          </w:p>
        </w:tc>
        <w:tc>
          <w:tcPr>
            <w:tcW w:w="716" w:type="dxa"/>
            <w:tcBorders>
              <w:top w:val="nil"/>
              <w:left w:val="nil"/>
              <w:bottom w:val="nil"/>
              <w:right w:val="nil"/>
            </w:tcBorders>
            <w:shd w:val="clear" w:color="000000" w:fill="FFFFFF"/>
            <w:noWrap/>
            <w:vAlign w:val="center"/>
          </w:tcPr>
          <w:p>
            <w:pPr>
              <w:widowControl/>
              <w:spacing w:line="320" w:lineRule="exact"/>
              <w:jc w:val="center"/>
              <w:rPr>
                <w:rFonts w:ascii="Calibri" w:hAnsi="Calibri" w:cs="宋体"/>
                <w:color w:val="000000"/>
                <w:kern w:val="0"/>
                <w:sz w:val="20"/>
                <w:szCs w:val="20"/>
              </w:rPr>
            </w:pPr>
            <w:r>
              <w:rPr>
                <w:rFonts w:ascii="Calibri" w:hAnsi="Calibri" w:cs="宋体"/>
                <w:color w:val="000000"/>
                <w:kern w:val="0"/>
                <w:sz w:val="20"/>
                <w:szCs w:val="20"/>
              </w:rPr>
              <w:t>1.6</w:t>
            </w:r>
          </w:p>
        </w:tc>
        <w:tc>
          <w:tcPr>
            <w:tcW w:w="716" w:type="dxa"/>
            <w:tcBorders>
              <w:top w:val="nil"/>
              <w:left w:val="nil"/>
              <w:bottom w:val="nil"/>
              <w:right w:val="nil"/>
            </w:tcBorders>
            <w:shd w:val="clear" w:color="000000" w:fill="FFFFFF"/>
            <w:noWrap/>
            <w:vAlign w:val="center"/>
          </w:tcPr>
          <w:p>
            <w:pPr>
              <w:widowControl/>
              <w:spacing w:line="320" w:lineRule="exact"/>
              <w:jc w:val="center"/>
              <w:rPr>
                <w:rFonts w:ascii="Calibri" w:hAnsi="Calibri" w:cs="宋体"/>
                <w:color w:val="000000"/>
                <w:kern w:val="0"/>
                <w:sz w:val="20"/>
                <w:szCs w:val="20"/>
              </w:rPr>
            </w:pPr>
            <w:r>
              <w:rPr>
                <w:rFonts w:ascii="Calibri" w:hAnsi="Calibri" w:cs="宋体"/>
                <w:color w:val="000000"/>
                <w:kern w:val="0"/>
                <w:sz w:val="20"/>
                <w:szCs w:val="20"/>
              </w:rPr>
              <w:t>0.0</w:t>
            </w:r>
          </w:p>
        </w:tc>
        <w:tc>
          <w:tcPr>
            <w:tcW w:w="715" w:type="dxa"/>
            <w:tcBorders>
              <w:top w:val="nil"/>
              <w:left w:val="nil"/>
              <w:bottom w:val="nil"/>
              <w:right w:val="nil"/>
            </w:tcBorders>
            <w:shd w:val="clear" w:color="000000" w:fill="FFFFFF"/>
            <w:noWrap/>
            <w:vAlign w:val="center"/>
          </w:tcPr>
          <w:p>
            <w:pPr>
              <w:widowControl/>
              <w:spacing w:line="320" w:lineRule="exact"/>
              <w:jc w:val="center"/>
              <w:rPr>
                <w:rFonts w:ascii="Calibri" w:hAnsi="Calibri" w:cs="宋体"/>
                <w:color w:val="000000"/>
                <w:kern w:val="0"/>
                <w:sz w:val="20"/>
                <w:szCs w:val="20"/>
              </w:rPr>
            </w:pPr>
            <w:r>
              <w:rPr>
                <w:rFonts w:ascii="Calibri" w:hAnsi="Calibri" w:cs="宋体"/>
                <w:color w:val="000000"/>
                <w:kern w:val="0"/>
                <w:sz w:val="20"/>
                <w:szCs w:val="20"/>
              </w:rPr>
              <w:t>3.2</w:t>
            </w:r>
          </w:p>
        </w:tc>
        <w:tc>
          <w:tcPr>
            <w:tcW w:w="716" w:type="dxa"/>
            <w:tcBorders>
              <w:top w:val="nil"/>
              <w:left w:val="nil"/>
              <w:bottom w:val="nil"/>
              <w:right w:val="nil"/>
            </w:tcBorders>
            <w:shd w:val="clear" w:color="000000" w:fill="FFFFFF"/>
            <w:noWrap/>
            <w:vAlign w:val="center"/>
          </w:tcPr>
          <w:p>
            <w:pPr>
              <w:widowControl/>
              <w:spacing w:line="320" w:lineRule="exact"/>
              <w:jc w:val="center"/>
              <w:rPr>
                <w:rFonts w:ascii="Calibri" w:hAnsi="Calibri" w:cs="宋体"/>
                <w:color w:val="000000"/>
                <w:kern w:val="0"/>
                <w:sz w:val="20"/>
                <w:szCs w:val="20"/>
              </w:rPr>
            </w:pPr>
            <w:r>
              <w:rPr>
                <w:rFonts w:ascii="Calibri" w:hAnsi="Calibri" w:cs="宋体"/>
                <w:color w:val="000000"/>
                <w:kern w:val="0"/>
                <w:sz w:val="20"/>
                <w:szCs w:val="20"/>
              </w:rPr>
              <w:t>0.0</w:t>
            </w:r>
          </w:p>
        </w:tc>
        <w:tc>
          <w:tcPr>
            <w:tcW w:w="715" w:type="dxa"/>
            <w:tcBorders>
              <w:top w:val="nil"/>
              <w:left w:val="nil"/>
              <w:bottom w:val="nil"/>
              <w:right w:val="nil"/>
            </w:tcBorders>
            <w:shd w:val="clear" w:color="000000" w:fill="FFFFFF"/>
            <w:noWrap/>
            <w:vAlign w:val="center"/>
          </w:tcPr>
          <w:p>
            <w:pPr>
              <w:widowControl/>
              <w:spacing w:line="320" w:lineRule="exact"/>
              <w:jc w:val="center"/>
              <w:rPr>
                <w:rFonts w:ascii="Calibri" w:hAnsi="Calibri" w:cs="宋体"/>
                <w:color w:val="000000"/>
                <w:kern w:val="0"/>
                <w:sz w:val="20"/>
                <w:szCs w:val="20"/>
              </w:rPr>
            </w:pPr>
            <w:r>
              <w:rPr>
                <w:rFonts w:ascii="Calibri" w:hAnsi="Calibri" w:cs="宋体"/>
                <w:color w:val="000000"/>
                <w:kern w:val="0"/>
                <w:sz w:val="20"/>
                <w:szCs w:val="20"/>
              </w:rPr>
              <w:t>0.0</w:t>
            </w:r>
          </w:p>
        </w:tc>
        <w:tc>
          <w:tcPr>
            <w:tcW w:w="716" w:type="dxa"/>
            <w:tcBorders>
              <w:top w:val="nil"/>
              <w:left w:val="nil"/>
              <w:bottom w:val="nil"/>
              <w:right w:val="nil"/>
            </w:tcBorders>
            <w:shd w:val="clear" w:color="000000" w:fill="FFFFFF"/>
            <w:noWrap/>
            <w:vAlign w:val="center"/>
          </w:tcPr>
          <w:p>
            <w:pPr>
              <w:widowControl/>
              <w:spacing w:line="320" w:lineRule="exact"/>
              <w:jc w:val="center"/>
              <w:rPr>
                <w:rFonts w:ascii="Calibri" w:hAnsi="Calibri" w:cs="宋体"/>
                <w:color w:val="000000"/>
                <w:kern w:val="0"/>
                <w:sz w:val="20"/>
                <w:szCs w:val="20"/>
              </w:rPr>
            </w:pPr>
            <w:r>
              <w:rPr>
                <w:rFonts w:ascii="Calibri" w:hAnsi="Calibri" w:cs="宋体"/>
                <w:color w:val="000000"/>
                <w:kern w:val="0"/>
                <w:sz w:val="20"/>
                <w:szCs w:val="20"/>
              </w:rPr>
              <w:t>0.0</w:t>
            </w:r>
          </w:p>
        </w:tc>
        <w:tc>
          <w:tcPr>
            <w:tcW w:w="716" w:type="dxa"/>
            <w:tcBorders>
              <w:top w:val="nil"/>
              <w:left w:val="nil"/>
              <w:bottom w:val="nil"/>
              <w:right w:val="nil"/>
            </w:tcBorders>
            <w:shd w:val="clear" w:color="000000" w:fill="FFFFFF"/>
            <w:noWrap/>
            <w:vAlign w:val="center"/>
          </w:tcPr>
          <w:p>
            <w:pPr>
              <w:widowControl/>
              <w:spacing w:line="320" w:lineRule="exact"/>
              <w:jc w:val="center"/>
              <w:rPr>
                <w:rFonts w:ascii="Calibri" w:hAnsi="Calibri" w:cs="宋体"/>
                <w:color w:val="000000"/>
                <w:kern w:val="0"/>
                <w:sz w:val="20"/>
                <w:szCs w:val="20"/>
              </w:rPr>
            </w:pPr>
            <w:r>
              <w:rPr>
                <w:rFonts w:ascii="Calibri" w:hAnsi="Calibri" w:cs="宋体"/>
                <w:color w:val="000000"/>
                <w:kern w:val="0"/>
                <w:sz w:val="20"/>
                <w:szCs w:val="20"/>
              </w:rPr>
              <w:t>4.8</w:t>
            </w:r>
          </w:p>
        </w:tc>
      </w:tr>
      <w:tr>
        <w:tblPrEx>
          <w:tblCellMar>
            <w:top w:w="0" w:type="dxa"/>
            <w:left w:w="108" w:type="dxa"/>
            <w:bottom w:w="0" w:type="dxa"/>
            <w:right w:w="108" w:type="dxa"/>
          </w:tblCellMar>
        </w:tblPrEx>
        <w:trPr>
          <w:trHeight w:val="270" w:hRule="atLeast"/>
          <w:jc w:val="center"/>
        </w:trPr>
        <w:tc>
          <w:tcPr>
            <w:tcW w:w="1734" w:type="dxa"/>
            <w:tcBorders>
              <w:top w:val="nil"/>
              <w:left w:val="nil"/>
              <w:bottom w:val="nil"/>
              <w:right w:val="nil"/>
            </w:tcBorders>
            <w:shd w:val="clear" w:color="000000" w:fill="BEEDF8"/>
            <w:noWrap/>
            <w:vAlign w:val="center"/>
          </w:tcPr>
          <w:p>
            <w:pPr>
              <w:widowControl/>
              <w:spacing w:line="320" w:lineRule="exact"/>
              <w:jc w:val="left"/>
              <w:rPr>
                <w:rFonts w:ascii="Calibri" w:hAnsi="Calibri" w:cs="宋体"/>
                <w:color w:val="000000"/>
                <w:kern w:val="0"/>
                <w:sz w:val="20"/>
                <w:szCs w:val="20"/>
              </w:rPr>
            </w:pPr>
            <w:r>
              <w:rPr>
                <w:rFonts w:ascii="Calibri" w:hAnsi="Calibri" w:cs="宋体"/>
                <w:color w:val="000000"/>
                <w:kern w:val="0"/>
                <w:sz w:val="20"/>
                <w:szCs w:val="20"/>
              </w:rPr>
              <w:t>电子商务</w:t>
            </w:r>
          </w:p>
        </w:tc>
        <w:tc>
          <w:tcPr>
            <w:tcW w:w="715" w:type="dxa"/>
            <w:tcBorders>
              <w:top w:val="nil"/>
              <w:left w:val="nil"/>
              <w:bottom w:val="nil"/>
              <w:right w:val="nil"/>
            </w:tcBorders>
            <w:shd w:val="clear" w:color="000000" w:fill="BEEDF8"/>
            <w:noWrap/>
            <w:vAlign w:val="center"/>
          </w:tcPr>
          <w:p>
            <w:pPr>
              <w:widowControl/>
              <w:spacing w:line="320" w:lineRule="exact"/>
              <w:jc w:val="center"/>
              <w:rPr>
                <w:rFonts w:ascii="Calibri" w:hAnsi="Calibri" w:cs="宋体"/>
                <w:color w:val="000000"/>
                <w:kern w:val="0"/>
                <w:sz w:val="20"/>
                <w:szCs w:val="20"/>
              </w:rPr>
            </w:pPr>
            <w:r>
              <w:rPr>
                <w:rFonts w:ascii="Calibri" w:hAnsi="Calibri" w:cs="宋体"/>
                <w:color w:val="000000"/>
                <w:kern w:val="0"/>
                <w:sz w:val="20"/>
                <w:szCs w:val="20"/>
              </w:rPr>
              <w:t>71.3</w:t>
            </w:r>
          </w:p>
        </w:tc>
        <w:tc>
          <w:tcPr>
            <w:tcW w:w="716" w:type="dxa"/>
            <w:tcBorders>
              <w:top w:val="nil"/>
              <w:left w:val="nil"/>
              <w:bottom w:val="nil"/>
              <w:right w:val="nil"/>
            </w:tcBorders>
            <w:shd w:val="clear" w:color="000000" w:fill="BEEDF8"/>
            <w:noWrap/>
            <w:vAlign w:val="center"/>
          </w:tcPr>
          <w:p>
            <w:pPr>
              <w:widowControl/>
              <w:spacing w:line="320" w:lineRule="exact"/>
              <w:jc w:val="center"/>
              <w:rPr>
                <w:rFonts w:ascii="Calibri" w:hAnsi="Calibri" w:cs="宋体"/>
                <w:color w:val="000000"/>
                <w:kern w:val="0"/>
                <w:sz w:val="20"/>
                <w:szCs w:val="20"/>
              </w:rPr>
            </w:pPr>
            <w:r>
              <w:rPr>
                <w:rFonts w:ascii="Calibri" w:hAnsi="Calibri" w:cs="宋体"/>
                <w:color w:val="000000"/>
                <w:kern w:val="0"/>
                <w:sz w:val="20"/>
                <w:szCs w:val="20"/>
              </w:rPr>
              <w:t>5.3</w:t>
            </w:r>
          </w:p>
        </w:tc>
        <w:tc>
          <w:tcPr>
            <w:tcW w:w="715" w:type="dxa"/>
            <w:tcBorders>
              <w:top w:val="nil"/>
              <w:left w:val="nil"/>
              <w:bottom w:val="nil"/>
              <w:right w:val="nil"/>
            </w:tcBorders>
            <w:shd w:val="clear" w:color="000000" w:fill="BEEDF8"/>
            <w:noWrap/>
            <w:vAlign w:val="center"/>
          </w:tcPr>
          <w:p>
            <w:pPr>
              <w:widowControl/>
              <w:spacing w:line="320" w:lineRule="exact"/>
              <w:jc w:val="center"/>
              <w:rPr>
                <w:rFonts w:ascii="Calibri" w:hAnsi="Calibri" w:cs="宋体"/>
                <w:color w:val="000000"/>
                <w:kern w:val="0"/>
                <w:sz w:val="20"/>
                <w:szCs w:val="20"/>
              </w:rPr>
            </w:pPr>
            <w:r>
              <w:rPr>
                <w:rFonts w:ascii="Calibri" w:hAnsi="Calibri" w:cs="宋体"/>
                <w:color w:val="000000"/>
                <w:kern w:val="0"/>
                <w:sz w:val="20"/>
                <w:szCs w:val="20"/>
              </w:rPr>
              <w:t>3.3</w:t>
            </w:r>
          </w:p>
        </w:tc>
        <w:tc>
          <w:tcPr>
            <w:tcW w:w="716" w:type="dxa"/>
            <w:tcBorders>
              <w:top w:val="nil"/>
              <w:left w:val="nil"/>
              <w:bottom w:val="nil"/>
              <w:right w:val="nil"/>
            </w:tcBorders>
            <w:shd w:val="clear" w:color="000000" w:fill="BEEDF8"/>
            <w:noWrap/>
            <w:vAlign w:val="center"/>
          </w:tcPr>
          <w:p>
            <w:pPr>
              <w:widowControl/>
              <w:spacing w:line="320" w:lineRule="exact"/>
              <w:jc w:val="center"/>
              <w:rPr>
                <w:rFonts w:ascii="Calibri" w:hAnsi="Calibri" w:cs="宋体"/>
                <w:color w:val="000000"/>
                <w:kern w:val="0"/>
                <w:sz w:val="20"/>
                <w:szCs w:val="20"/>
              </w:rPr>
            </w:pPr>
            <w:r>
              <w:rPr>
                <w:rFonts w:ascii="Calibri" w:hAnsi="Calibri" w:cs="宋体"/>
                <w:color w:val="000000"/>
                <w:kern w:val="0"/>
                <w:sz w:val="20"/>
                <w:szCs w:val="20"/>
              </w:rPr>
              <w:t>4.7</w:t>
            </w:r>
          </w:p>
        </w:tc>
        <w:tc>
          <w:tcPr>
            <w:tcW w:w="716" w:type="dxa"/>
            <w:tcBorders>
              <w:top w:val="nil"/>
              <w:left w:val="nil"/>
              <w:bottom w:val="nil"/>
              <w:right w:val="nil"/>
            </w:tcBorders>
            <w:shd w:val="clear" w:color="000000" w:fill="BEEDF8"/>
            <w:noWrap/>
            <w:vAlign w:val="center"/>
          </w:tcPr>
          <w:p>
            <w:pPr>
              <w:widowControl/>
              <w:spacing w:line="320" w:lineRule="exact"/>
              <w:jc w:val="center"/>
              <w:rPr>
                <w:rFonts w:ascii="Calibri" w:hAnsi="Calibri" w:cs="宋体"/>
                <w:color w:val="000000"/>
                <w:kern w:val="0"/>
                <w:sz w:val="20"/>
                <w:szCs w:val="20"/>
              </w:rPr>
            </w:pPr>
            <w:r>
              <w:rPr>
                <w:rFonts w:ascii="Calibri" w:hAnsi="Calibri" w:cs="宋体"/>
                <w:color w:val="000000"/>
                <w:kern w:val="0"/>
                <w:sz w:val="20"/>
                <w:szCs w:val="20"/>
              </w:rPr>
              <w:t>0.7</w:t>
            </w:r>
          </w:p>
        </w:tc>
        <w:tc>
          <w:tcPr>
            <w:tcW w:w="715" w:type="dxa"/>
            <w:tcBorders>
              <w:top w:val="nil"/>
              <w:left w:val="nil"/>
              <w:bottom w:val="nil"/>
              <w:right w:val="nil"/>
            </w:tcBorders>
            <w:shd w:val="clear" w:color="000000" w:fill="BEEDF8"/>
            <w:noWrap/>
            <w:vAlign w:val="center"/>
          </w:tcPr>
          <w:p>
            <w:pPr>
              <w:widowControl/>
              <w:spacing w:line="320" w:lineRule="exact"/>
              <w:jc w:val="center"/>
              <w:rPr>
                <w:rFonts w:ascii="Calibri" w:hAnsi="Calibri" w:cs="宋体"/>
                <w:color w:val="000000"/>
                <w:kern w:val="0"/>
                <w:sz w:val="20"/>
                <w:szCs w:val="20"/>
              </w:rPr>
            </w:pPr>
            <w:r>
              <w:rPr>
                <w:rFonts w:ascii="Calibri" w:hAnsi="Calibri" w:cs="宋体"/>
                <w:color w:val="000000"/>
                <w:kern w:val="0"/>
                <w:sz w:val="20"/>
                <w:szCs w:val="20"/>
              </w:rPr>
              <w:t>2.0</w:t>
            </w:r>
          </w:p>
        </w:tc>
        <w:tc>
          <w:tcPr>
            <w:tcW w:w="716" w:type="dxa"/>
            <w:tcBorders>
              <w:top w:val="nil"/>
              <w:left w:val="nil"/>
              <w:bottom w:val="nil"/>
              <w:right w:val="nil"/>
            </w:tcBorders>
            <w:shd w:val="clear" w:color="000000" w:fill="BEEDF8"/>
            <w:noWrap/>
            <w:vAlign w:val="center"/>
          </w:tcPr>
          <w:p>
            <w:pPr>
              <w:widowControl/>
              <w:spacing w:line="320" w:lineRule="exact"/>
              <w:jc w:val="center"/>
              <w:rPr>
                <w:rFonts w:ascii="Calibri" w:hAnsi="Calibri" w:cs="宋体"/>
                <w:color w:val="000000"/>
                <w:kern w:val="0"/>
                <w:sz w:val="20"/>
                <w:szCs w:val="20"/>
              </w:rPr>
            </w:pPr>
            <w:r>
              <w:rPr>
                <w:rFonts w:ascii="Calibri" w:hAnsi="Calibri" w:cs="宋体"/>
                <w:color w:val="000000"/>
                <w:kern w:val="0"/>
                <w:sz w:val="20"/>
                <w:szCs w:val="20"/>
              </w:rPr>
              <w:t>0.0</w:t>
            </w:r>
          </w:p>
        </w:tc>
        <w:tc>
          <w:tcPr>
            <w:tcW w:w="715" w:type="dxa"/>
            <w:tcBorders>
              <w:top w:val="nil"/>
              <w:left w:val="nil"/>
              <w:bottom w:val="nil"/>
              <w:right w:val="nil"/>
            </w:tcBorders>
            <w:shd w:val="clear" w:color="000000" w:fill="BEEDF8"/>
            <w:noWrap/>
            <w:vAlign w:val="center"/>
          </w:tcPr>
          <w:p>
            <w:pPr>
              <w:widowControl/>
              <w:spacing w:line="320" w:lineRule="exact"/>
              <w:jc w:val="center"/>
              <w:rPr>
                <w:rFonts w:ascii="Calibri" w:hAnsi="Calibri" w:cs="宋体"/>
                <w:color w:val="000000"/>
                <w:kern w:val="0"/>
                <w:sz w:val="20"/>
                <w:szCs w:val="20"/>
              </w:rPr>
            </w:pPr>
            <w:r>
              <w:rPr>
                <w:rFonts w:ascii="Calibri" w:hAnsi="Calibri" w:cs="宋体"/>
                <w:color w:val="000000"/>
                <w:kern w:val="0"/>
                <w:sz w:val="20"/>
                <w:szCs w:val="20"/>
              </w:rPr>
              <w:t>0.7</w:t>
            </w:r>
          </w:p>
        </w:tc>
        <w:tc>
          <w:tcPr>
            <w:tcW w:w="716" w:type="dxa"/>
            <w:tcBorders>
              <w:top w:val="nil"/>
              <w:left w:val="nil"/>
              <w:bottom w:val="nil"/>
              <w:right w:val="nil"/>
            </w:tcBorders>
            <w:shd w:val="clear" w:color="000000" w:fill="BEEDF8"/>
            <w:noWrap/>
            <w:vAlign w:val="center"/>
          </w:tcPr>
          <w:p>
            <w:pPr>
              <w:widowControl/>
              <w:spacing w:line="320" w:lineRule="exact"/>
              <w:jc w:val="center"/>
              <w:rPr>
                <w:rFonts w:ascii="Calibri" w:hAnsi="Calibri" w:cs="宋体"/>
                <w:color w:val="000000"/>
                <w:kern w:val="0"/>
                <w:sz w:val="20"/>
                <w:szCs w:val="20"/>
              </w:rPr>
            </w:pPr>
            <w:r>
              <w:rPr>
                <w:rFonts w:ascii="Calibri" w:hAnsi="Calibri" w:cs="宋体"/>
                <w:color w:val="000000"/>
                <w:kern w:val="0"/>
                <w:sz w:val="20"/>
                <w:szCs w:val="20"/>
              </w:rPr>
              <w:t>0.0</w:t>
            </w:r>
          </w:p>
        </w:tc>
        <w:tc>
          <w:tcPr>
            <w:tcW w:w="716" w:type="dxa"/>
            <w:tcBorders>
              <w:top w:val="nil"/>
              <w:left w:val="nil"/>
              <w:bottom w:val="nil"/>
              <w:right w:val="nil"/>
            </w:tcBorders>
            <w:shd w:val="clear" w:color="000000" w:fill="BEEDF8"/>
            <w:noWrap/>
            <w:vAlign w:val="center"/>
          </w:tcPr>
          <w:p>
            <w:pPr>
              <w:widowControl/>
              <w:spacing w:line="320" w:lineRule="exact"/>
              <w:jc w:val="center"/>
              <w:rPr>
                <w:rFonts w:ascii="Calibri" w:hAnsi="Calibri" w:cs="宋体"/>
                <w:color w:val="000000"/>
                <w:kern w:val="0"/>
                <w:sz w:val="20"/>
                <w:szCs w:val="20"/>
              </w:rPr>
            </w:pPr>
            <w:r>
              <w:rPr>
                <w:rFonts w:ascii="Calibri" w:hAnsi="Calibri" w:cs="宋体"/>
                <w:color w:val="000000"/>
                <w:kern w:val="0"/>
                <w:sz w:val="20"/>
                <w:szCs w:val="20"/>
              </w:rPr>
              <w:t>12.0</w:t>
            </w:r>
          </w:p>
        </w:tc>
      </w:tr>
      <w:tr>
        <w:tblPrEx>
          <w:tblCellMar>
            <w:top w:w="0" w:type="dxa"/>
            <w:left w:w="108" w:type="dxa"/>
            <w:bottom w:w="0" w:type="dxa"/>
            <w:right w:w="108" w:type="dxa"/>
          </w:tblCellMar>
        </w:tblPrEx>
        <w:trPr>
          <w:trHeight w:val="270" w:hRule="atLeast"/>
          <w:jc w:val="center"/>
        </w:trPr>
        <w:tc>
          <w:tcPr>
            <w:tcW w:w="1734" w:type="dxa"/>
            <w:tcBorders>
              <w:top w:val="nil"/>
              <w:left w:val="nil"/>
              <w:bottom w:val="nil"/>
              <w:right w:val="nil"/>
            </w:tcBorders>
            <w:shd w:val="clear" w:color="000000" w:fill="FFFFFF"/>
            <w:noWrap/>
            <w:vAlign w:val="center"/>
          </w:tcPr>
          <w:p>
            <w:pPr>
              <w:widowControl/>
              <w:spacing w:line="320" w:lineRule="exact"/>
              <w:jc w:val="left"/>
              <w:rPr>
                <w:rFonts w:ascii="Calibri" w:hAnsi="Calibri" w:cs="宋体"/>
                <w:color w:val="000000"/>
                <w:kern w:val="0"/>
                <w:sz w:val="20"/>
                <w:szCs w:val="20"/>
              </w:rPr>
            </w:pPr>
            <w:r>
              <w:rPr>
                <w:rFonts w:ascii="Calibri" w:hAnsi="Calibri" w:cs="宋体"/>
                <w:color w:val="000000"/>
                <w:kern w:val="0"/>
                <w:sz w:val="20"/>
                <w:szCs w:val="20"/>
              </w:rPr>
              <w:t>旅游管理</w:t>
            </w:r>
          </w:p>
        </w:tc>
        <w:tc>
          <w:tcPr>
            <w:tcW w:w="715" w:type="dxa"/>
            <w:tcBorders>
              <w:top w:val="nil"/>
              <w:left w:val="nil"/>
              <w:bottom w:val="nil"/>
              <w:right w:val="nil"/>
            </w:tcBorders>
            <w:shd w:val="clear" w:color="000000" w:fill="FFFFFF"/>
            <w:noWrap/>
            <w:vAlign w:val="center"/>
          </w:tcPr>
          <w:p>
            <w:pPr>
              <w:widowControl/>
              <w:spacing w:line="320" w:lineRule="exact"/>
              <w:jc w:val="center"/>
              <w:rPr>
                <w:rFonts w:ascii="Calibri" w:hAnsi="Calibri" w:cs="宋体"/>
                <w:color w:val="000000"/>
                <w:kern w:val="0"/>
                <w:sz w:val="20"/>
                <w:szCs w:val="20"/>
              </w:rPr>
            </w:pPr>
            <w:r>
              <w:rPr>
                <w:rFonts w:ascii="Calibri" w:hAnsi="Calibri" w:cs="宋体"/>
                <w:color w:val="000000"/>
                <w:kern w:val="0"/>
                <w:sz w:val="20"/>
                <w:szCs w:val="20"/>
              </w:rPr>
              <w:t>69.3</w:t>
            </w:r>
          </w:p>
        </w:tc>
        <w:tc>
          <w:tcPr>
            <w:tcW w:w="716" w:type="dxa"/>
            <w:tcBorders>
              <w:top w:val="nil"/>
              <w:left w:val="nil"/>
              <w:bottom w:val="nil"/>
              <w:right w:val="nil"/>
            </w:tcBorders>
            <w:shd w:val="clear" w:color="000000" w:fill="FFFFFF"/>
            <w:noWrap/>
            <w:vAlign w:val="center"/>
          </w:tcPr>
          <w:p>
            <w:pPr>
              <w:widowControl/>
              <w:spacing w:line="320" w:lineRule="exact"/>
              <w:jc w:val="center"/>
              <w:rPr>
                <w:rFonts w:ascii="Calibri" w:hAnsi="Calibri" w:cs="宋体"/>
                <w:color w:val="000000"/>
                <w:kern w:val="0"/>
                <w:sz w:val="20"/>
                <w:szCs w:val="20"/>
              </w:rPr>
            </w:pPr>
            <w:r>
              <w:rPr>
                <w:rFonts w:ascii="Calibri" w:hAnsi="Calibri" w:cs="宋体"/>
                <w:color w:val="000000"/>
                <w:kern w:val="0"/>
                <w:sz w:val="20"/>
                <w:szCs w:val="20"/>
              </w:rPr>
              <w:t>17.6</w:t>
            </w:r>
          </w:p>
        </w:tc>
        <w:tc>
          <w:tcPr>
            <w:tcW w:w="715" w:type="dxa"/>
            <w:tcBorders>
              <w:top w:val="nil"/>
              <w:left w:val="nil"/>
              <w:bottom w:val="nil"/>
              <w:right w:val="nil"/>
            </w:tcBorders>
            <w:shd w:val="clear" w:color="000000" w:fill="FFFFFF"/>
            <w:noWrap/>
            <w:vAlign w:val="center"/>
          </w:tcPr>
          <w:p>
            <w:pPr>
              <w:widowControl/>
              <w:spacing w:line="320" w:lineRule="exact"/>
              <w:jc w:val="center"/>
              <w:rPr>
                <w:rFonts w:ascii="Calibri" w:hAnsi="Calibri" w:cs="宋体"/>
                <w:color w:val="000000"/>
                <w:kern w:val="0"/>
                <w:sz w:val="20"/>
                <w:szCs w:val="20"/>
              </w:rPr>
            </w:pPr>
            <w:r>
              <w:rPr>
                <w:rFonts w:ascii="Calibri" w:hAnsi="Calibri" w:cs="宋体"/>
                <w:color w:val="000000"/>
                <w:kern w:val="0"/>
                <w:sz w:val="20"/>
                <w:szCs w:val="20"/>
              </w:rPr>
              <w:t>5.7</w:t>
            </w:r>
          </w:p>
        </w:tc>
        <w:tc>
          <w:tcPr>
            <w:tcW w:w="716" w:type="dxa"/>
            <w:tcBorders>
              <w:top w:val="nil"/>
              <w:left w:val="nil"/>
              <w:bottom w:val="nil"/>
              <w:right w:val="nil"/>
            </w:tcBorders>
            <w:shd w:val="clear" w:color="000000" w:fill="FFFFFF"/>
            <w:noWrap/>
            <w:vAlign w:val="center"/>
          </w:tcPr>
          <w:p>
            <w:pPr>
              <w:widowControl/>
              <w:spacing w:line="320" w:lineRule="exact"/>
              <w:jc w:val="center"/>
              <w:rPr>
                <w:rFonts w:ascii="Calibri" w:hAnsi="Calibri" w:cs="宋体"/>
                <w:color w:val="000000"/>
                <w:kern w:val="0"/>
                <w:sz w:val="20"/>
                <w:szCs w:val="20"/>
              </w:rPr>
            </w:pPr>
            <w:r>
              <w:rPr>
                <w:rFonts w:ascii="Calibri" w:hAnsi="Calibri" w:cs="宋体"/>
                <w:color w:val="000000"/>
                <w:kern w:val="0"/>
                <w:sz w:val="20"/>
                <w:szCs w:val="20"/>
              </w:rPr>
              <w:t>1.1</w:t>
            </w:r>
          </w:p>
        </w:tc>
        <w:tc>
          <w:tcPr>
            <w:tcW w:w="716" w:type="dxa"/>
            <w:tcBorders>
              <w:top w:val="nil"/>
              <w:left w:val="nil"/>
              <w:bottom w:val="nil"/>
              <w:right w:val="nil"/>
            </w:tcBorders>
            <w:shd w:val="clear" w:color="000000" w:fill="FFFFFF"/>
            <w:noWrap/>
            <w:vAlign w:val="center"/>
          </w:tcPr>
          <w:p>
            <w:pPr>
              <w:widowControl/>
              <w:spacing w:line="320" w:lineRule="exact"/>
              <w:jc w:val="center"/>
              <w:rPr>
                <w:rFonts w:ascii="Calibri" w:hAnsi="Calibri" w:cs="宋体"/>
                <w:color w:val="000000"/>
                <w:kern w:val="0"/>
                <w:sz w:val="20"/>
                <w:szCs w:val="20"/>
              </w:rPr>
            </w:pPr>
            <w:r>
              <w:rPr>
                <w:rFonts w:ascii="Calibri" w:hAnsi="Calibri" w:cs="宋体"/>
                <w:color w:val="000000"/>
                <w:kern w:val="0"/>
                <w:sz w:val="20"/>
                <w:szCs w:val="20"/>
              </w:rPr>
              <w:t>0.0</w:t>
            </w:r>
          </w:p>
        </w:tc>
        <w:tc>
          <w:tcPr>
            <w:tcW w:w="715" w:type="dxa"/>
            <w:tcBorders>
              <w:top w:val="nil"/>
              <w:left w:val="nil"/>
              <w:bottom w:val="nil"/>
              <w:right w:val="nil"/>
            </w:tcBorders>
            <w:shd w:val="clear" w:color="000000" w:fill="FFFFFF"/>
            <w:noWrap/>
            <w:vAlign w:val="center"/>
          </w:tcPr>
          <w:p>
            <w:pPr>
              <w:widowControl/>
              <w:spacing w:line="320" w:lineRule="exact"/>
              <w:jc w:val="center"/>
              <w:rPr>
                <w:rFonts w:ascii="Calibri" w:hAnsi="Calibri" w:cs="宋体"/>
                <w:color w:val="000000"/>
                <w:kern w:val="0"/>
                <w:sz w:val="20"/>
                <w:szCs w:val="20"/>
              </w:rPr>
            </w:pPr>
            <w:r>
              <w:rPr>
                <w:rFonts w:ascii="Calibri" w:hAnsi="Calibri" w:cs="宋体"/>
                <w:color w:val="000000"/>
                <w:kern w:val="0"/>
                <w:sz w:val="20"/>
                <w:szCs w:val="20"/>
              </w:rPr>
              <w:t>0.3</w:t>
            </w:r>
          </w:p>
        </w:tc>
        <w:tc>
          <w:tcPr>
            <w:tcW w:w="716" w:type="dxa"/>
            <w:tcBorders>
              <w:top w:val="nil"/>
              <w:left w:val="nil"/>
              <w:bottom w:val="nil"/>
              <w:right w:val="nil"/>
            </w:tcBorders>
            <w:shd w:val="clear" w:color="000000" w:fill="FFFFFF"/>
            <w:noWrap/>
            <w:vAlign w:val="center"/>
          </w:tcPr>
          <w:p>
            <w:pPr>
              <w:widowControl/>
              <w:spacing w:line="320" w:lineRule="exact"/>
              <w:jc w:val="center"/>
              <w:rPr>
                <w:rFonts w:ascii="Calibri" w:hAnsi="Calibri" w:cs="宋体"/>
                <w:color w:val="000000"/>
                <w:kern w:val="0"/>
                <w:sz w:val="20"/>
                <w:szCs w:val="20"/>
              </w:rPr>
            </w:pPr>
            <w:r>
              <w:rPr>
                <w:rFonts w:ascii="Calibri" w:hAnsi="Calibri" w:cs="宋体"/>
                <w:color w:val="000000"/>
                <w:kern w:val="0"/>
                <w:sz w:val="20"/>
                <w:szCs w:val="20"/>
              </w:rPr>
              <w:t>0.3</w:t>
            </w:r>
          </w:p>
        </w:tc>
        <w:tc>
          <w:tcPr>
            <w:tcW w:w="715" w:type="dxa"/>
            <w:tcBorders>
              <w:top w:val="nil"/>
              <w:left w:val="nil"/>
              <w:bottom w:val="nil"/>
              <w:right w:val="nil"/>
            </w:tcBorders>
            <w:shd w:val="clear" w:color="000000" w:fill="FFFFFF"/>
            <w:noWrap/>
            <w:vAlign w:val="center"/>
          </w:tcPr>
          <w:p>
            <w:pPr>
              <w:widowControl/>
              <w:spacing w:line="320" w:lineRule="exact"/>
              <w:jc w:val="center"/>
              <w:rPr>
                <w:rFonts w:ascii="Calibri" w:hAnsi="Calibri" w:cs="宋体"/>
                <w:color w:val="000000"/>
                <w:kern w:val="0"/>
                <w:sz w:val="20"/>
                <w:szCs w:val="20"/>
              </w:rPr>
            </w:pPr>
            <w:r>
              <w:rPr>
                <w:rFonts w:ascii="Calibri" w:hAnsi="Calibri" w:cs="宋体"/>
                <w:color w:val="000000"/>
                <w:kern w:val="0"/>
                <w:sz w:val="20"/>
                <w:szCs w:val="20"/>
              </w:rPr>
              <w:t>0.0</w:t>
            </w:r>
          </w:p>
        </w:tc>
        <w:tc>
          <w:tcPr>
            <w:tcW w:w="716" w:type="dxa"/>
            <w:tcBorders>
              <w:top w:val="nil"/>
              <w:left w:val="nil"/>
              <w:bottom w:val="nil"/>
              <w:right w:val="nil"/>
            </w:tcBorders>
            <w:shd w:val="clear" w:color="000000" w:fill="FFFFFF"/>
            <w:noWrap/>
            <w:vAlign w:val="center"/>
          </w:tcPr>
          <w:p>
            <w:pPr>
              <w:widowControl/>
              <w:spacing w:line="320" w:lineRule="exact"/>
              <w:jc w:val="center"/>
              <w:rPr>
                <w:rFonts w:ascii="Calibri" w:hAnsi="Calibri" w:cs="宋体"/>
                <w:color w:val="000000"/>
                <w:kern w:val="0"/>
                <w:sz w:val="20"/>
                <w:szCs w:val="20"/>
              </w:rPr>
            </w:pPr>
            <w:r>
              <w:rPr>
                <w:rFonts w:ascii="Calibri" w:hAnsi="Calibri" w:cs="宋体"/>
                <w:color w:val="000000"/>
                <w:kern w:val="0"/>
                <w:sz w:val="20"/>
                <w:szCs w:val="20"/>
              </w:rPr>
              <w:t>0.0</w:t>
            </w:r>
          </w:p>
        </w:tc>
        <w:tc>
          <w:tcPr>
            <w:tcW w:w="716" w:type="dxa"/>
            <w:tcBorders>
              <w:top w:val="nil"/>
              <w:left w:val="nil"/>
              <w:bottom w:val="nil"/>
              <w:right w:val="nil"/>
            </w:tcBorders>
            <w:shd w:val="clear" w:color="000000" w:fill="FFFFFF"/>
            <w:noWrap/>
            <w:vAlign w:val="center"/>
          </w:tcPr>
          <w:p>
            <w:pPr>
              <w:widowControl/>
              <w:spacing w:line="320" w:lineRule="exact"/>
              <w:jc w:val="center"/>
              <w:rPr>
                <w:rFonts w:ascii="Calibri" w:hAnsi="Calibri" w:cs="宋体"/>
                <w:color w:val="000000"/>
                <w:kern w:val="0"/>
                <w:sz w:val="20"/>
                <w:szCs w:val="20"/>
              </w:rPr>
            </w:pPr>
            <w:r>
              <w:rPr>
                <w:rFonts w:ascii="Calibri" w:hAnsi="Calibri" w:cs="宋体"/>
                <w:color w:val="000000"/>
                <w:kern w:val="0"/>
                <w:sz w:val="20"/>
                <w:szCs w:val="20"/>
              </w:rPr>
              <w:t>5.7</w:t>
            </w:r>
          </w:p>
        </w:tc>
      </w:tr>
      <w:tr>
        <w:tblPrEx>
          <w:tblCellMar>
            <w:top w:w="0" w:type="dxa"/>
            <w:left w:w="108" w:type="dxa"/>
            <w:bottom w:w="0" w:type="dxa"/>
            <w:right w:w="108" w:type="dxa"/>
          </w:tblCellMar>
        </w:tblPrEx>
        <w:trPr>
          <w:trHeight w:val="270" w:hRule="atLeast"/>
          <w:jc w:val="center"/>
        </w:trPr>
        <w:tc>
          <w:tcPr>
            <w:tcW w:w="1734" w:type="dxa"/>
            <w:tcBorders>
              <w:top w:val="nil"/>
              <w:left w:val="nil"/>
              <w:bottom w:val="nil"/>
              <w:right w:val="nil"/>
            </w:tcBorders>
            <w:shd w:val="clear" w:color="000000" w:fill="BEEDF8"/>
            <w:noWrap/>
            <w:vAlign w:val="center"/>
          </w:tcPr>
          <w:p>
            <w:pPr>
              <w:widowControl/>
              <w:spacing w:line="320" w:lineRule="exact"/>
              <w:jc w:val="left"/>
              <w:rPr>
                <w:rFonts w:ascii="Calibri" w:hAnsi="Calibri" w:cs="宋体"/>
                <w:color w:val="000000"/>
                <w:kern w:val="0"/>
                <w:sz w:val="20"/>
                <w:szCs w:val="20"/>
              </w:rPr>
            </w:pPr>
            <w:r>
              <w:rPr>
                <w:rFonts w:ascii="Calibri" w:hAnsi="Calibri" w:cs="宋体"/>
                <w:color w:val="000000"/>
                <w:kern w:val="0"/>
                <w:sz w:val="20"/>
                <w:szCs w:val="20"/>
              </w:rPr>
              <w:t>应用法语</w:t>
            </w:r>
          </w:p>
        </w:tc>
        <w:tc>
          <w:tcPr>
            <w:tcW w:w="715" w:type="dxa"/>
            <w:tcBorders>
              <w:top w:val="nil"/>
              <w:left w:val="nil"/>
              <w:bottom w:val="nil"/>
              <w:right w:val="nil"/>
            </w:tcBorders>
            <w:shd w:val="clear" w:color="000000" w:fill="BEEDF8"/>
            <w:noWrap/>
            <w:vAlign w:val="center"/>
          </w:tcPr>
          <w:p>
            <w:pPr>
              <w:widowControl/>
              <w:spacing w:line="320" w:lineRule="exact"/>
              <w:jc w:val="center"/>
              <w:rPr>
                <w:rFonts w:ascii="Calibri" w:hAnsi="Calibri" w:cs="宋体"/>
                <w:color w:val="000000"/>
                <w:kern w:val="0"/>
                <w:sz w:val="20"/>
                <w:szCs w:val="20"/>
              </w:rPr>
            </w:pPr>
            <w:r>
              <w:rPr>
                <w:rFonts w:ascii="Calibri" w:hAnsi="Calibri" w:cs="宋体"/>
                <w:color w:val="000000"/>
                <w:kern w:val="0"/>
                <w:sz w:val="20"/>
                <w:szCs w:val="20"/>
              </w:rPr>
              <w:t>69.2</w:t>
            </w:r>
          </w:p>
        </w:tc>
        <w:tc>
          <w:tcPr>
            <w:tcW w:w="716" w:type="dxa"/>
            <w:tcBorders>
              <w:top w:val="nil"/>
              <w:left w:val="nil"/>
              <w:bottom w:val="nil"/>
              <w:right w:val="nil"/>
            </w:tcBorders>
            <w:shd w:val="clear" w:color="000000" w:fill="BEEDF8"/>
            <w:noWrap/>
            <w:vAlign w:val="center"/>
          </w:tcPr>
          <w:p>
            <w:pPr>
              <w:widowControl/>
              <w:spacing w:line="320" w:lineRule="exact"/>
              <w:jc w:val="center"/>
              <w:rPr>
                <w:rFonts w:ascii="Calibri" w:hAnsi="Calibri" w:cs="宋体"/>
                <w:color w:val="000000"/>
                <w:kern w:val="0"/>
                <w:sz w:val="20"/>
                <w:szCs w:val="20"/>
              </w:rPr>
            </w:pPr>
            <w:r>
              <w:rPr>
                <w:rFonts w:ascii="Calibri" w:hAnsi="Calibri" w:cs="宋体"/>
                <w:color w:val="000000"/>
                <w:kern w:val="0"/>
                <w:sz w:val="20"/>
                <w:szCs w:val="20"/>
              </w:rPr>
              <w:t>3.8</w:t>
            </w:r>
          </w:p>
        </w:tc>
        <w:tc>
          <w:tcPr>
            <w:tcW w:w="715" w:type="dxa"/>
            <w:tcBorders>
              <w:top w:val="nil"/>
              <w:left w:val="nil"/>
              <w:bottom w:val="nil"/>
              <w:right w:val="nil"/>
            </w:tcBorders>
            <w:shd w:val="clear" w:color="000000" w:fill="BEEDF8"/>
            <w:noWrap/>
            <w:vAlign w:val="center"/>
          </w:tcPr>
          <w:p>
            <w:pPr>
              <w:widowControl/>
              <w:spacing w:line="320" w:lineRule="exact"/>
              <w:jc w:val="center"/>
              <w:rPr>
                <w:rFonts w:ascii="Calibri" w:hAnsi="Calibri" w:cs="宋体"/>
                <w:color w:val="000000"/>
                <w:kern w:val="0"/>
                <w:sz w:val="20"/>
                <w:szCs w:val="20"/>
              </w:rPr>
            </w:pPr>
            <w:r>
              <w:rPr>
                <w:rFonts w:ascii="Calibri" w:hAnsi="Calibri" w:cs="宋体"/>
                <w:color w:val="000000"/>
                <w:kern w:val="0"/>
                <w:sz w:val="20"/>
                <w:szCs w:val="20"/>
              </w:rPr>
              <w:t>0.0</w:t>
            </w:r>
          </w:p>
        </w:tc>
        <w:tc>
          <w:tcPr>
            <w:tcW w:w="716" w:type="dxa"/>
            <w:tcBorders>
              <w:top w:val="nil"/>
              <w:left w:val="nil"/>
              <w:bottom w:val="nil"/>
              <w:right w:val="nil"/>
            </w:tcBorders>
            <w:shd w:val="clear" w:color="000000" w:fill="BEEDF8"/>
            <w:noWrap/>
            <w:vAlign w:val="center"/>
          </w:tcPr>
          <w:p>
            <w:pPr>
              <w:widowControl/>
              <w:spacing w:line="320" w:lineRule="exact"/>
              <w:jc w:val="center"/>
              <w:rPr>
                <w:rFonts w:ascii="Calibri" w:hAnsi="Calibri" w:cs="宋体"/>
                <w:color w:val="000000"/>
                <w:kern w:val="0"/>
                <w:sz w:val="20"/>
                <w:szCs w:val="20"/>
              </w:rPr>
            </w:pPr>
            <w:r>
              <w:rPr>
                <w:rFonts w:ascii="Calibri" w:hAnsi="Calibri" w:cs="宋体"/>
                <w:color w:val="000000"/>
                <w:kern w:val="0"/>
                <w:sz w:val="20"/>
                <w:szCs w:val="20"/>
              </w:rPr>
              <w:t>11.5</w:t>
            </w:r>
          </w:p>
        </w:tc>
        <w:tc>
          <w:tcPr>
            <w:tcW w:w="716" w:type="dxa"/>
            <w:tcBorders>
              <w:top w:val="nil"/>
              <w:left w:val="nil"/>
              <w:bottom w:val="nil"/>
              <w:right w:val="nil"/>
            </w:tcBorders>
            <w:shd w:val="clear" w:color="000000" w:fill="BEEDF8"/>
            <w:noWrap/>
            <w:vAlign w:val="center"/>
          </w:tcPr>
          <w:p>
            <w:pPr>
              <w:widowControl/>
              <w:spacing w:line="320" w:lineRule="exact"/>
              <w:jc w:val="center"/>
              <w:rPr>
                <w:rFonts w:ascii="Calibri" w:hAnsi="Calibri" w:cs="宋体"/>
                <w:color w:val="000000"/>
                <w:kern w:val="0"/>
                <w:sz w:val="20"/>
                <w:szCs w:val="20"/>
              </w:rPr>
            </w:pPr>
            <w:r>
              <w:rPr>
                <w:rFonts w:ascii="Calibri" w:hAnsi="Calibri" w:cs="宋体"/>
                <w:color w:val="000000"/>
                <w:kern w:val="0"/>
                <w:sz w:val="20"/>
                <w:szCs w:val="20"/>
              </w:rPr>
              <w:t>15.4</w:t>
            </w:r>
          </w:p>
        </w:tc>
        <w:tc>
          <w:tcPr>
            <w:tcW w:w="715" w:type="dxa"/>
            <w:tcBorders>
              <w:top w:val="nil"/>
              <w:left w:val="nil"/>
              <w:bottom w:val="nil"/>
              <w:right w:val="nil"/>
            </w:tcBorders>
            <w:shd w:val="clear" w:color="000000" w:fill="BEEDF8"/>
            <w:noWrap/>
            <w:vAlign w:val="center"/>
          </w:tcPr>
          <w:p>
            <w:pPr>
              <w:widowControl/>
              <w:spacing w:line="320" w:lineRule="exact"/>
              <w:jc w:val="center"/>
              <w:rPr>
                <w:rFonts w:ascii="Calibri" w:hAnsi="Calibri" w:cs="宋体"/>
                <w:color w:val="000000"/>
                <w:kern w:val="0"/>
                <w:sz w:val="20"/>
                <w:szCs w:val="20"/>
              </w:rPr>
            </w:pPr>
            <w:r>
              <w:rPr>
                <w:rFonts w:ascii="Calibri" w:hAnsi="Calibri" w:cs="宋体"/>
                <w:color w:val="000000"/>
                <w:kern w:val="0"/>
                <w:sz w:val="20"/>
                <w:szCs w:val="20"/>
              </w:rPr>
              <w:t>0.0</w:t>
            </w:r>
          </w:p>
        </w:tc>
        <w:tc>
          <w:tcPr>
            <w:tcW w:w="716" w:type="dxa"/>
            <w:tcBorders>
              <w:top w:val="nil"/>
              <w:left w:val="nil"/>
              <w:bottom w:val="nil"/>
              <w:right w:val="nil"/>
            </w:tcBorders>
            <w:shd w:val="clear" w:color="000000" w:fill="BEEDF8"/>
            <w:noWrap/>
            <w:vAlign w:val="center"/>
          </w:tcPr>
          <w:p>
            <w:pPr>
              <w:widowControl/>
              <w:spacing w:line="320" w:lineRule="exact"/>
              <w:jc w:val="center"/>
              <w:rPr>
                <w:rFonts w:ascii="Calibri" w:hAnsi="Calibri" w:cs="宋体"/>
                <w:color w:val="000000"/>
                <w:kern w:val="0"/>
                <w:sz w:val="20"/>
                <w:szCs w:val="20"/>
              </w:rPr>
            </w:pPr>
            <w:r>
              <w:rPr>
                <w:rFonts w:ascii="Calibri" w:hAnsi="Calibri" w:cs="宋体"/>
                <w:color w:val="000000"/>
                <w:kern w:val="0"/>
                <w:sz w:val="20"/>
                <w:szCs w:val="20"/>
              </w:rPr>
              <w:t>0.0</w:t>
            </w:r>
          </w:p>
        </w:tc>
        <w:tc>
          <w:tcPr>
            <w:tcW w:w="715" w:type="dxa"/>
            <w:tcBorders>
              <w:top w:val="nil"/>
              <w:left w:val="nil"/>
              <w:bottom w:val="nil"/>
              <w:right w:val="nil"/>
            </w:tcBorders>
            <w:shd w:val="clear" w:color="000000" w:fill="BEEDF8"/>
            <w:noWrap/>
            <w:vAlign w:val="center"/>
          </w:tcPr>
          <w:p>
            <w:pPr>
              <w:widowControl/>
              <w:spacing w:line="320" w:lineRule="exact"/>
              <w:jc w:val="center"/>
              <w:rPr>
                <w:rFonts w:ascii="Calibri" w:hAnsi="Calibri" w:cs="宋体"/>
                <w:color w:val="000000"/>
                <w:kern w:val="0"/>
                <w:sz w:val="20"/>
                <w:szCs w:val="20"/>
              </w:rPr>
            </w:pPr>
            <w:r>
              <w:rPr>
                <w:rFonts w:ascii="Calibri" w:hAnsi="Calibri" w:cs="宋体"/>
                <w:color w:val="000000"/>
                <w:kern w:val="0"/>
                <w:sz w:val="20"/>
                <w:szCs w:val="20"/>
              </w:rPr>
              <w:t>0.0</w:t>
            </w:r>
          </w:p>
        </w:tc>
        <w:tc>
          <w:tcPr>
            <w:tcW w:w="716" w:type="dxa"/>
            <w:tcBorders>
              <w:top w:val="nil"/>
              <w:left w:val="nil"/>
              <w:bottom w:val="nil"/>
              <w:right w:val="nil"/>
            </w:tcBorders>
            <w:shd w:val="clear" w:color="000000" w:fill="BEEDF8"/>
            <w:noWrap/>
            <w:vAlign w:val="center"/>
          </w:tcPr>
          <w:p>
            <w:pPr>
              <w:widowControl/>
              <w:spacing w:line="320" w:lineRule="exact"/>
              <w:jc w:val="center"/>
              <w:rPr>
                <w:rFonts w:ascii="Calibri" w:hAnsi="Calibri" w:cs="宋体"/>
                <w:color w:val="000000"/>
                <w:kern w:val="0"/>
                <w:sz w:val="20"/>
                <w:szCs w:val="20"/>
              </w:rPr>
            </w:pPr>
            <w:r>
              <w:rPr>
                <w:rFonts w:ascii="Calibri" w:hAnsi="Calibri" w:cs="宋体"/>
                <w:color w:val="000000"/>
                <w:kern w:val="0"/>
                <w:sz w:val="20"/>
                <w:szCs w:val="20"/>
              </w:rPr>
              <w:t>0.0</w:t>
            </w:r>
          </w:p>
        </w:tc>
        <w:tc>
          <w:tcPr>
            <w:tcW w:w="716" w:type="dxa"/>
            <w:tcBorders>
              <w:top w:val="nil"/>
              <w:left w:val="nil"/>
              <w:bottom w:val="nil"/>
              <w:right w:val="nil"/>
            </w:tcBorders>
            <w:shd w:val="clear" w:color="000000" w:fill="BEEDF8"/>
            <w:noWrap/>
            <w:vAlign w:val="center"/>
          </w:tcPr>
          <w:p>
            <w:pPr>
              <w:widowControl/>
              <w:spacing w:line="320" w:lineRule="exact"/>
              <w:jc w:val="center"/>
              <w:rPr>
                <w:rFonts w:ascii="Calibri" w:hAnsi="Calibri" w:cs="宋体"/>
                <w:color w:val="000000"/>
                <w:kern w:val="0"/>
                <w:sz w:val="20"/>
                <w:szCs w:val="20"/>
              </w:rPr>
            </w:pPr>
            <w:r>
              <w:rPr>
                <w:rFonts w:ascii="Calibri" w:hAnsi="Calibri" w:cs="宋体"/>
                <w:color w:val="000000"/>
                <w:kern w:val="0"/>
                <w:sz w:val="20"/>
                <w:szCs w:val="20"/>
              </w:rPr>
              <w:t>0.0</w:t>
            </w:r>
          </w:p>
        </w:tc>
      </w:tr>
      <w:tr>
        <w:tblPrEx>
          <w:tblCellMar>
            <w:top w:w="0" w:type="dxa"/>
            <w:left w:w="108" w:type="dxa"/>
            <w:bottom w:w="0" w:type="dxa"/>
            <w:right w:w="108" w:type="dxa"/>
          </w:tblCellMar>
        </w:tblPrEx>
        <w:trPr>
          <w:trHeight w:val="270" w:hRule="atLeast"/>
          <w:jc w:val="center"/>
        </w:trPr>
        <w:tc>
          <w:tcPr>
            <w:tcW w:w="1734" w:type="dxa"/>
            <w:tcBorders>
              <w:top w:val="nil"/>
              <w:left w:val="nil"/>
              <w:bottom w:val="nil"/>
              <w:right w:val="nil"/>
            </w:tcBorders>
            <w:shd w:val="clear" w:color="000000" w:fill="FFFFFF"/>
            <w:noWrap/>
            <w:vAlign w:val="center"/>
          </w:tcPr>
          <w:p>
            <w:pPr>
              <w:widowControl/>
              <w:spacing w:line="320" w:lineRule="exact"/>
              <w:jc w:val="left"/>
              <w:rPr>
                <w:rFonts w:ascii="Calibri" w:hAnsi="Calibri" w:cs="宋体"/>
                <w:color w:val="000000"/>
                <w:kern w:val="0"/>
                <w:sz w:val="20"/>
                <w:szCs w:val="20"/>
              </w:rPr>
            </w:pPr>
            <w:r>
              <w:rPr>
                <w:rFonts w:ascii="Calibri" w:hAnsi="Calibri" w:cs="宋体"/>
                <w:color w:val="000000"/>
                <w:kern w:val="0"/>
                <w:sz w:val="20"/>
                <w:szCs w:val="20"/>
              </w:rPr>
              <w:t>应用英语（少儿师资）</w:t>
            </w:r>
          </w:p>
        </w:tc>
        <w:tc>
          <w:tcPr>
            <w:tcW w:w="715" w:type="dxa"/>
            <w:tcBorders>
              <w:top w:val="nil"/>
              <w:left w:val="nil"/>
              <w:bottom w:val="nil"/>
              <w:right w:val="nil"/>
            </w:tcBorders>
            <w:shd w:val="clear" w:color="000000" w:fill="FFFFFF"/>
            <w:noWrap/>
            <w:vAlign w:val="center"/>
          </w:tcPr>
          <w:p>
            <w:pPr>
              <w:widowControl/>
              <w:spacing w:line="320" w:lineRule="exact"/>
              <w:jc w:val="center"/>
              <w:rPr>
                <w:rFonts w:ascii="Calibri" w:hAnsi="Calibri" w:cs="宋体"/>
                <w:color w:val="000000"/>
                <w:kern w:val="0"/>
                <w:sz w:val="20"/>
                <w:szCs w:val="20"/>
              </w:rPr>
            </w:pPr>
            <w:r>
              <w:rPr>
                <w:rFonts w:ascii="Calibri" w:hAnsi="Calibri" w:cs="宋体"/>
                <w:color w:val="000000"/>
                <w:kern w:val="0"/>
                <w:sz w:val="20"/>
                <w:szCs w:val="20"/>
              </w:rPr>
              <w:t>64.5</w:t>
            </w:r>
          </w:p>
        </w:tc>
        <w:tc>
          <w:tcPr>
            <w:tcW w:w="716" w:type="dxa"/>
            <w:tcBorders>
              <w:top w:val="nil"/>
              <w:left w:val="nil"/>
              <w:bottom w:val="nil"/>
              <w:right w:val="nil"/>
            </w:tcBorders>
            <w:shd w:val="clear" w:color="000000" w:fill="FFFFFF"/>
            <w:noWrap/>
            <w:vAlign w:val="center"/>
          </w:tcPr>
          <w:p>
            <w:pPr>
              <w:widowControl/>
              <w:spacing w:line="320" w:lineRule="exact"/>
              <w:jc w:val="center"/>
              <w:rPr>
                <w:rFonts w:ascii="Calibri" w:hAnsi="Calibri" w:cs="宋体"/>
                <w:color w:val="000000"/>
                <w:kern w:val="0"/>
                <w:sz w:val="20"/>
                <w:szCs w:val="20"/>
              </w:rPr>
            </w:pPr>
            <w:r>
              <w:rPr>
                <w:rFonts w:ascii="Calibri" w:hAnsi="Calibri" w:cs="宋体"/>
                <w:color w:val="000000"/>
                <w:kern w:val="0"/>
                <w:sz w:val="20"/>
                <w:szCs w:val="20"/>
              </w:rPr>
              <w:t>7.9</w:t>
            </w:r>
          </w:p>
        </w:tc>
        <w:tc>
          <w:tcPr>
            <w:tcW w:w="715" w:type="dxa"/>
            <w:tcBorders>
              <w:top w:val="nil"/>
              <w:left w:val="nil"/>
              <w:bottom w:val="nil"/>
              <w:right w:val="nil"/>
            </w:tcBorders>
            <w:shd w:val="clear" w:color="000000" w:fill="FFFFFF"/>
            <w:noWrap/>
            <w:vAlign w:val="center"/>
          </w:tcPr>
          <w:p>
            <w:pPr>
              <w:widowControl/>
              <w:spacing w:line="320" w:lineRule="exact"/>
              <w:jc w:val="center"/>
              <w:rPr>
                <w:rFonts w:ascii="Calibri" w:hAnsi="Calibri" w:cs="宋体"/>
                <w:color w:val="000000"/>
                <w:kern w:val="0"/>
                <w:sz w:val="20"/>
                <w:szCs w:val="20"/>
              </w:rPr>
            </w:pPr>
            <w:r>
              <w:rPr>
                <w:rFonts w:ascii="Calibri" w:hAnsi="Calibri" w:cs="宋体"/>
                <w:color w:val="000000"/>
                <w:kern w:val="0"/>
                <w:sz w:val="20"/>
                <w:szCs w:val="20"/>
              </w:rPr>
              <w:t>0.0</w:t>
            </w:r>
          </w:p>
        </w:tc>
        <w:tc>
          <w:tcPr>
            <w:tcW w:w="716" w:type="dxa"/>
            <w:tcBorders>
              <w:top w:val="nil"/>
              <w:left w:val="nil"/>
              <w:bottom w:val="nil"/>
              <w:right w:val="nil"/>
            </w:tcBorders>
            <w:shd w:val="clear" w:color="000000" w:fill="FFFFFF"/>
            <w:noWrap/>
            <w:vAlign w:val="center"/>
          </w:tcPr>
          <w:p>
            <w:pPr>
              <w:widowControl/>
              <w:spacing w:line="320" w:lineRule="exact"/>
              <w:jc w:val="center"/>
              <w:rPr>
                <w:rFonts w:ascii="Calibri" w:hAnsi="Calibri" w:cs="宋体"/>
                <w:color w:val="000000"/>
                <w:kern w:val="0"/>
                <w:sz w:val="20"/>
                <w:szCs w:val="20"/>
              </w:rPr>
            </w:pPr>
            <w:r>
              <w:rPr>
                <w:rFonts w:ascii="Calibri" w:hAnsi="Calibri" w:cs="宋体"/>
                <w:color w:val="000000"/>
                <w:kern w:val="0"/>
                <w:sz w:val="20"/>
                <w:szCs w:val="20"/>
              </w:rPr>
              <w:t>19.7</w:t>
            </w:r>
          </w:p>
        </w:tc>
        <w:tc>
          <w:tcPr>
            <w:tcW w:w="716" w:type="dxa"/>
            <w:tcBorders>
              <w:top w:val="nil"/>
              <w:left w:val="nil"/>
              <w:bottom w:val="nil"/>
              <w:right w:val="nil"/>
            </w:tcBorders>
            <w:shd w:val="clear" w:color="000000" w:fill="FFFFFF"/>
            <w:noWrap/>
            <w:vAlign w:val="center"/>
          </w:tcPr>
          <w:p>
            <w:pPr>
              <w:widowControl/>
              <w:spacing w:line="320" w:lineRule="exact"/>
              <w:jc w:val="center"/>
              <w:rPr>
                <w:rFonts w:ascii="Calibri" w:hAnsi="Calibri" w:cs="宋体"/>
                <w:color w:val="000000"/>
                <w:kern w:val="0"/>
                <w:sz w:val="20"/>
                <w:szCs w:val="20"/>
              </w:rPr>
            </w:pPr>
            <w:r>
              <w:rPr>
                <w:rFonts w:ascii="Calibri" w:hAnsi="Calibri" w:cs="宋体"/>
                <w:color w:val="000000"/>
                <w:kern w:val="0"/>
                <w:sz w:val="20"/>
                <w:szCs w:val="20"/>
              </w:rPr>
              <w:t>0.0</w:t>
            </w:r>
          </w:p>
        </w:tc>
        <w:tc>
          <w:tcPr>
            <w:tcW w:w="715" w:type="dxa"/>
            <w:tcBorders>
              <w:top w:val="nil"/>
              <w:left w:val="nil"/>
              <w:bottom w:val="nil"/>
              <w:right w:val="nil"/>
            </w:tcBorders>
            <w:shd w:val="clear" w:color="000000" w:fill="FFFFFF"/>
            <w:noWrap/>
            <w:vAlign w:val="center"/>
          </w:tcPr>
          <w:p>
            <w:pPr>
              <w:widowControl/>
              <w:spacing w:line="320" w:lineRule="exact"/>
              <w:jc w:val="center"/>
              <w:rPr>
                <w:rFonts w:ascii="Calibri" w:hAnsi="Calibri" w:cs="宋体"/>
                <w:color w:val="000000"/>
                <w:kern w:val="0"/>
                <w:sz w:val="20"/>
                <w:szCs w:val="20"/>
              </w:rPr>
            </w:pPr>
            <w:r>
              <w:rPr>
                <w:rFonts w:ascii="Calibri" w:hAnsi="Calibri" w:cs="宋体"/>
                <w:color w:val="000000"/>
                <w:kern w:val="0"/>
                <w:sz w:val="20"/>
                <w:szCs w:val="20"/>
              </w:rPr>
              <w:t>1.3</w:t>
            </w:r>
          </w:p>
        </w:tc>
        <w:tc>
          <w:tcPr>
            <w:tcW w:w="716" w:type="dxa"/>
            <w:tcBorders>
              <w:top w:val="nil"/>
              <w:left w:val="nil"/>
              <w:bottom w:val="nil"/>
              <w:right w:val="nil"/>
            </w:tcBorders>
            <w:shd w:val="clear" w:color="000000" w:fill="FFFFFF"/>
            <w:noWrap/>
            <w:vAlign w:val="center"/>
          </w:tcPr>
          <w:p>
            <w:pPr>
              <w:widowControl/>
              <w:spacing w:line="320" w:lineRule="exact"/>
              <w:jc w:val="center"/>
              <w:rPr>
                <w:rFonts w:ascii="Calibri" w:hAnsi="Calibri" w:cs="宋体"/>
                <w:color w:val="000000"/>
                <w:kern w:val="0"/>
                <w:sz w:val="20"/>
                <w:szCs w:val="20"/>
              </w:rPr>
            </w:pPr>
            <w:r>
              <w:rPr>
                <w:rFonts w:ascii="Calibri" w:hAnsi="Calibri" w:cs="宋体"/>
                <w:color w:val="000000"/>
                <w:kern w:val="0"/>
                <w:sz w:val="20"/>
                <w:szCs w:val="20"/>
              </w:rPr>
              <w:t>0.0</w:t>
            </w:r>
          </w:p>
        </w:tc>
        <w:tc>
          <w:tcPr>
            <w:tcW w:w="715" w:type="dxa"/>
            <w:tcBorders>
              <w:top w:val="nil"/>
              <w:left w:val="nil"/>
              <w:bottom w:val="nil"/>
              <w:right w:val="nil"/>
            </w:tcBorders>
            <w:shd w:val="clear" w:color="000000" w:fill="FFFFFF"/>
            <w:noWrap/>
            <w:vAlign w:val="center"/>
          </w:tcPr>
          <w:p>
            <w:pPr>
              <w:widowControl/>
              <w:spacing w:line="320" w:lineRule="exact"/>
              <w:jc w:val="center"/>
              <w:rPr>
                <w:rFonts w:ascii="Calibri" w:hAnsi="Calibri" w:cs="宋体"/>
                <w:color w:val="000000"/>
                <w:kern w:val="0"/>
                <w:sz w:val="20"/>
                <w:szCs w:val="20"/>
              </w:rPr>
            </w:pPr>
            <w:r>
              <w:rPr>
                <w:rFonts w:ascii="Calibri" w:hAnsi="Calibri" w:cs="宋体"/>
                <w:color w:val="000000"/>
                <w:kern w:val="0"/>
                <w:sz w:val="20"/>
                <w:szCs w:val="20"/>
              </w:rPr>
              <w:t>0.0</w:t>
            </w:r>
          </w:p>
        </w:tc>
        <w:tc>
          <w:tcPr>
            <w:tcW w:w="716" w:type="dxa"/>
            <w:tcBorders>
              <w:top w:val="nil"/>
              <w:left w:val="nil"/>
              <w:bottom w:val="nil"/>
              <w:right w:val="nil"/>
            </w:tcBorders>
            <w:shd w:val="clear" w:color="000000" w:fill="FFFFFF"/>
            <w:noWrap/>
            <w:vAlign w:val="center"/>
          </w:tcPr>
          <w:p>
            <w:pPr>
              <w:widowControl/>
              <w:spacing w:line="320" w:lineRule="exact"/>
              <w:jc w:val="center"/>
              <w:rPr>
                <w:rFonts w:ascii="Calibri" w:hAnsi="Calibri" w:cs="宋体"/>
                <w:color w:val="000000"/>
                <w:kern w:val="0"/>
                <w:sz w:val="20"/>
                <w:szCs w:val="20"/>
              </w:rPr>
            </w:pPr>
            <w:r>
              <w:rPr>
                <w:rFonts w:ascii="Calibri" w:hAnsi="Calibri" w:cs="宋体"/>
                <w:color w:val="000000"/>
                <w:kern w:val="0"/>
                <w:sz w:val="20"/>
                <w:szCs w:val="20"/>
              </w:rPr>
              <w:t>0.0</w:t>
            </w:r>
          </w:p>
        </w:tc>
        <w:tc>
          <w:tcPr>
            <w:tcW w:w="716" w:type="dxa"/>
            <w:tcBorders>
              <w:top w:val="nil"/>
              <w:left w:val="nil"/>
              <w:bottom w:val="nil"/>
              <w:right w:val="nil"/>
            </w:tcBorders>
            <w:shd w:val="clear" w:color="000000" w:fill="FFFFFF"/>
            <w:noWrap/>
            <w:vAlign w:val="center"/>
          </w:tcPr>
          <w:p>
            <w:pPr>
              <w:widowControl/>
              <w:spacing w:line="320" w:lineRule="exact"/>
              <w:jc w:val="center"/>
              <w:rPr>
                <w:rFonts w:ascii="Calibri" w:hAnsi="Calibri" w:cs="宋体"/>
                <w:color w:val="000000"/>
                <w:kern w:val="0"/>
                <w:sz w:val="20"/>
                <w:szCs w:val="20"/>
              </w:rPr>
            </w:pPr>
            <w:r>
              <w:rPr>
                <w:rFonts w:ascii="Calibri" w:hAnsi="Calibri" w:cs="宋体"/>
                <w:color w:val="000000"/>
                <w:kern w:val="0"/>
                <w:sz w:val="20"/>
                <w:szCs w:val="20"/>
              </w:rPr>
              <w:t>6.6</w:t>
            </w:r>
          </w:p>
        </w:tc>
      </w:tr>
      <w:tr>
        <w:tblPrEx>
          <w:tblCellMar>
            <w:top w:w="0" w:type="dxa"/>
            <w:left w:w="108" w:type="dxa"/>
            <w:bottom w:w="0" w:type="dxa"/>
            <w:right w:w="108" w:type="dxa"/>
          </w:tblCellMar>
        </w:tblPrEx>
        <w:trPr>
          <w:trHeight w:val="270" w:hRule="atLeast"/>
          <w:jc w:val="center"/>
        </w:trPr>
        <w:tc>
          <w:tcPr>
            <w:tcW w:w="1734" w:type="dxa"/>
            <w:tcBorders>
              <w:top w:val="nil"/>
              <w:left w:val="nil"/>
              <w:bottom w:val="nil"/>
              <w:right w:val="nil"/>
            </w:tcBorders>
            <w:shd w:val="clear" w:color="000000" w:fill="BEEDF8"/>
            <w:noWrap/>
            <w:vAlign w:val="center"/>
          </w:tcPr>
          <w:p>
            <w:pPr>
              <w:widowControl/>
              <w:spacing w:line="320" w:lineRule="exact"/>
              <w:jc w:val="left"/>
              <w:rPr>
                <w:rFonts w:ascii="Calibri" w:hAnsi="Calibri" w:cs="宋体"/>
                <w:color w:val="000000"/>
                <w:kern w:val="0"/>
                <w:sz w:val="20"/>
                <w:szCs w:val="20"/>
              </w:rPr>
            </w:pPr>
            <w:r>
              <w:rPr>
                <w:rFonts w:ascii="Calibri" w:hAnsi="Calibri" w:cs="宋体"/>
                <w:color w:val="000000"/>
                <w:kern w:val="0"/>
                <w:sz w:val="20"/>
                <w:szCs w:val="20"/>
              </w:rPr>
              <w:t>国际贸易实务</w:t>
            </w:r>
          </w:p>
        </w:tc>
        <w:tc>
          <w:tcPr>
            <w:tcW w:w="715" w:type="dxa"/>
            <w:tcBorders>
              <w:top w:val="nil"/>
              <w:left w:val="nil"/>
              <w:bottom w:val="nil"/>
              <w:right w:val="nil"/>
            </w:tcBorders>
            <w:shd w:val="clear" w:color="000000" w:fill="BEEDF8"/>
            <w:noWrap/>
            <w:vAlign w:val="center"/>
          </w:tcPr>
          <w:p>
            <w:pPr>
              <w:widowControl/>
              <w:spacing w:line="320" w:lineRule="exact"/>
              <w:jc w:val="center"/>
              <w:rPr>
                <w:rFonts w:ascii="Calibri" w:hAnsi="Calibri" w:cs="宋体"/>
                <w:color w:val="000000"/>
                <w:kern w:val="0"/>
                <w:sz w:val="20"/>
                <w:szCs w:val="20"/>
              </w:rPr>
            </w:pPr>
            <w:r>
              <w:rPr>
                <w:rFonts w:ascii="Calibri" w:hAnsi="Calibri" w:cs="宋体"/>
                <w:color w:val="000000"/>
                <w:kern w:val="0"/>
                <w:sz w:val="20"/>
                <w:szCs w:val="20"/>
              </w:rPr>
              <w:t>59.5</w:t>
            </w:r>
          </w:p>
        </w:tc>
        <w:tc>
          <w:tcPr>
            <w:tcW w:w="716" w:type="dxa"/>
            <w:tcBorders>
              <w:top w:val="nil"/>
              <w:left w:val="nil"/>
              <w:bottom w:val="nil"/>
              <w:right w:val="nil"/>
            </w:tcBorders>
            <w:shd w:val="clear" w:color="000000" w:fill="BEEDF8"/>
            <w:noWrap/>
            <w:vAlign w:val="center"/>
          </w:tcPr>
          <w:p>
            <w:pPr>
              <w:widowControl/>
              <w:spacing w:line="320" w:lineRule="exact"/>
              <w:jc w:val="center"/>
              <w:rPr>
                <w:rFonts w:ascii="Calibri" w:hAnsi="Calibri" w:cs="宋体"/>
                <w:color w:val="000000"/>
                <w:kern w:val="0"/>
                <w:sz w:val="20"/>
                <w:szCs w:val="20"/>
              </w:rPr>
            </w:pPr>
            <w:r>
              <w:rPr>
                <w:rFonts w:ascii="Calibri" w:hAnsi="Calibri" w:cs="宋体"/>
                <w:color w:val="000000"/>
                <w:kern w:val="0"/>
                <w:sz w:val="20"/>
                <w:szCs w:val="20"/>
              </w:rPr>
              <w:t>2.7</w:t>
            </w:r>
          </w:p>
        </w:tc>
        <w:tc>
          <w:tcPr>
            <w:tcW w:w="715" w:type="dxa"/>
            <w:tcBorders>
              <w:top w:val="nil"/>
              <w:left w:val="nil"/>
              <w:bottom w:val="nil"/>
              <w:right w:val="nil"/>
            </w:tcBorders>
            <w:shd w:val="clear" w:color="000000" w:fill="BEEDF8"/>
            <w:noWrap/>
            <w:vAlign w:val="center"/>
          </w:tcPr>
          <w:p>
            <w:pPr>
              <w:widowControl/>
              <w:spacing w:line="320" w:lineRule="exact"/>
              <w:jc w:val="center"/>
              <w:rPr>
                <w:rFonts w:ascii="Calibri" w:hAnsi="Calibri" w:cs="宋体"/>
                <w:color w:val="000000"/>
                <w:kern w:val="0"/>
                <w:sz w:val="20"/>
                <w:szCs w:val="20"/>
              </w:rPr>
            </w:pPr>
            <w:r>
              <w:rPr>
                <w:rFonts w:ascii="Calibri" w:hAnsi="Calibri" w:cs="宋体"/>
                <w:color w:val="000000"/>
                <w:kern w:val="0"/>
                <w:sz w:val="20"/>
                <w:szCs w:val="20"/>
              </w:rPr>
              <w:t>5.4</w:t>
            </w:r>
          </w:p>
        </w:tc>
        <w:tc>
          <w:tcPr>
            <w:tcW w:w="716" w:type="dxa"/>
            <w:tcBorders>
              <w:top w:val="nil"/>
              <w:left w:val="nil"/>
              <w:bottom w:val="nil"/>
              <w:right w:val="nil"/>
            </w:tcBorders>
            <w:shd w:val="clear" w:color="000000" w:fill="BEEDF8"/>
            <w:noWrap/>
            <w:vAlign w:val="center"/>
          </w:tcPr>
          <w:p>
            <w:pPr>
              <w:widowControl/>
              <w:spacing w:line="320" w:lineRule="exact"/>
              <w:jc w:val="center"/>
              <w:rPr>
                <w:rFonts w:ascii="Calibri" w:hAnsi="Calibri" w:cs="宋体"/>
                <w:color w:val="000000"/>
                <w:kern w:val="0"/>
                <w:sz w:val="20"/>
                <w:szCs w:val="20"/>
              </w:rPr>
            </w:pPr>
            <w:r>
              <w:rPr>
                <w:rFonts w:ascii="Calibri" w:hAnsi="Calibri" w:cs="宋体"/>
                <w:color w:val="000000"/>
                <w:kern w:val="0"/>
                <w:sz w:val="20"/>
                <w:szCs w:val="20"/>
              </w:rPr>
              <w:t>24.3</w:t>
            </w:r>
          </w:p>
        </w:tc>
        <w:tc>
          <w:tcPr>
            <w:tcW w:w="716" w:type="dxa"/>
            <w:tcBorders>
              <w:top w:val="nil"/>
              <w:left w:val="nil"/>
              <w:bottom w:val="nil"/>
              <w:right w:val="nil"/>
            </w:tcBorders>
            <w:shd w:val="clear" w:color="000000" w:fill="BEEDF8"/>
            <w:noWrap/>
            <w:vAlign w:val="center"/>
          </w:tcPr>
          <w:p>
            <w:pPr>
              <w:widowControl/>
              <w:spacing w:line="320" w:lineRule="exact"/>
              <w:jc w:val="center"/>
              <w:rPr>
                <w:rFonts w:ascii="Calibri" w:hAnsi="Calibri" w:cs="宋体"/>
                <w:color w:val="000000"/>
                <w:kern w:val="0"/>
                <w:sz w:val="20"/>
                <w:szCs w:val="20"/>
              </w:rPr>
            </w:pPr>
            <w:r>
              <w:rPr>
                <w:rFonts w:ascii="Calibri" w:hAnsi="Calibri" w:cs="宋体"/>
                <w:color w:val="000000"/>
                <w:kern w:val="0"/>
                <w:sz w:val="20"/>
                <w:szCs w:val="20"/>
              </w:rPr>
              <w:t>0.0</w:t>
            </w:r>
          </w:p>
        </w:tc>
        <w:tc>
          <w:tcPr>
            <w:tcW w:w="715" w:type="dxa"/>
            <w:tcBorders>
              <w:top w:val="nil"/>
              <w:left w:val="nil"/>
              <w:bottom w:val="nil"/>
              <w:right w:val="nil"/>
            </w:tcBorders>
            <w:shd w:val="clear" w:color="000000" w:fill="BEEDF8"/>
            <w:noWrap/>
            <w:vAlign w:val="center"/>
          </w:tcPr>
          <w:p>
            <w:pPr>
              <w:widowControl/>
              <w:spacing w:line="320" w:lineRule="exact"/>
              <w:jc w:val="center"/>
              <w:rPr>
                <w:rFonts w:ascii="Calibri" w:hAnsi="Calibri" w:cs="宋体"/>
                <w:color w:val="000000"/>
                <w:kern w:val="0"/>
                <w:sz w:val="20"/>
                <w:szCs w:val="20"/>
              </w:rPr>
            </w:pPr>
            <w:r>
              <w:rPr>
                <w:rFonts w:ascii="Calibri" w:hAnsi="Calibri" w:cs="宋体"/>
                <w:color w:val="000000"/>
                <w:kern w:val="0"/>
                <w:sz w:val="20"/>
                <w:szCs w:val="20"/>
              </w:rPr>
              <w:t>0.0</w:t>
            </w:r>
          </w:p>
        </w:tc>
        <w:tc>
          <w:tcPr>
            <w:tcW w:w="716" w:type="dxa"/>
            <w:tcBorders>
              <w:top w:val="nil"/>
              <w:left w:val="nil"/>
              <w:bottom w:val="nil"/>
              <w:right w:val="nil"/>
            </w:tcBorders>
            <w:shd w:val="clear" w:color="000000" w:fill="BEEDF8"/>
            <w:noWrap/>
            <w:vAlign w:val="center"/>
          </w:tcPr>
          <w:p>
            <w:pPr>
              <w:widowControl/>
              <w:spacing w:line="320" w:lineRule="exact"/>
              <w:jc w:val="center"/>
              <w:rPr>
                <w:rFonts w:ascii="Calibri" w:hAnsi="Calibri" w:cs="宋体"/>
                <w:color w:val="000000"/>
                <w:kern w:val="0"/>
                <w:sz w:val="20"/>
                <w:szCs w:val="20"/>
              </w:rPr>
            </w:pPr>
            <w:r>
              <w:rPr>
                <w:rFonts w:ascii="Calibri" w:hAnsi="Calibri" w:cs="宋体"/>
                <w:color w:val="000000"/>
                <w:kern w:val="0"/>
                <w:sz w:val="20"/>
                <w:szCs w:val="20"/>
              </w:rPr>
              <w:t>0.0</w:t>
            </w:r>
          </w:p>
        </w:tc>
        <w:tc>
          <w:tcPr>
            <w:tcW w:w="715" w:type="dxa"/>
            <w:tcBorders>
              <w:top w:val="nil"/>
              <w:left w:val="nil"/>
              <w:bottom w:val="nil"/>
              <w:right w:val="nil"/>
            </w:tcBorders>
            <w:shd w:val="clear" w:color="000000" w:fill="BEEDF8"/>
            <w:noWrap/>
            <w:vAlign w:val="center"/>
          </w:tcPr>
          <w:p>
            <w:pPr>
              <w:widowControl/>
              <w:spacing w:line="320" w:lineRule="exact"/>
              <w:jc w:val="center"/>
              <w:rPr>
                <w:rFonts w:ascii="Calibri" w:hAnsi="Calibri" w:cs="宋体"/>
                <w:color w:val="000000"/>
                <w:kern w:val="0"/>
                <w:sz w:val="20"/>
                <w:szCs w:val="20"/>
              </w:rPr>
            </w:pPr>
            <w:r>
              <w:rPr>
                <w:rFonts w:ascii="Calibri" w:hAnsi="Calibri" w:cs="宋体"/>
                <w:color w:val="000000"/>
                <w:kern w:val="0"/>
                <w:sz w:val="20"/>
                <w:szCs w:val="20"/>
              </w:rPr>
              <w:t>0.0</w:t>
            </w:r>
          </w:p>
        </w:tc>
        <w:tc>
          <w:tcPr>
            <w:tcW w:w="716" w:type="dxa"/>
            <w:tcBorders>
              <w:top w:val="nil"/>
              <w:left w:val="nil"/>
              <w:bottom w:val="nil"/>
              <w:right w:val="nil"/>
            </w:tcBorders>
            <w:shd w:val="clear" w:color="000000" w:fill="BEEDF8"/>
            <w:noWrap/>
            <w:vAlign w:val="center"/>
          </w:tcPr>
          <w:p>
            <w:pPr>
              <w:widowControl/>
              <w:spacing w:line="320" w:lineRule="exact"/>
              <w:jc w:val="center"/>
              <w:rPr>
                <w:rFonts w:ascii="Calibri" w:hAnsi="Calibri" w:cs="宋体"/>
                <w:color w:val="000000"/>
                <w:kern w:val="0"/>
                <w:sz w:val="20"/>
                <w:szCs w:val="20"/>
              </w:rPr>
            </w:pPr>
            <w:r>
              <w:rPr>
                <w:rFonts w:ascii="Calibri" w:hAnsi="Calibri" w:cs="宋体"/>
                <w:color w:val="000000"/>
                <w:kern w:val="0"/>
                <w:sz w:val="20"/>
                <w:szCs w:val="20"/>
              </w:rPr>
              <w:t>0.0</w:t>
            </w:r>
          </w:p>
        </w:tc>
        <w:tc>
          <w:tcPr>
            <w:tcW w:w="716" w:type="dxa"/>
            <w:tcBorders>
              <w:top w:val="nil"/>
              <w:left w:val="nil"/>
              <w:bottom w:val="nil"/>
              <w:right w:val="nil"/>
            </w:tcBorders>
            <w:shd w:val="clear" w:color="000000" w:fill="BEEDF8"/>
            <w:noWrap/>
            <w:vAlign w:val="center"/>
          </w:tcPr>
          <w:p>
            <w:pPr>
              <w:widowControl/>
              <w:spacing w:line="320" w:lineRule="exact"/>
              <w:jc w:val="center"/>
              <w:rPr>
                <w:rFonts w:ascii="Calibri" w:hAnsi="Calibri" w:cs="宋体"/>
                <w:color w:val="000000"/>
                <w:kern w:val="0"/>
                <w:sz w:val="20"/>
                <w:szCs w:val="20"/>
              </w:rPr>
            </w:pPr>
            <w:r>
              <w:rPr>
                <w:rFonts w:ascii="Calibri" w:hAnsi="Calibri" w:cs="宋体"/>
                <w:color w:val="000000"/>
                <w:kern w:val="0"/>
                <w:sz w:val="20"/>
                <w:szCs w:val="20"/>
              </w:rPr>
              <w:t>8.1</w:t>
            </w:r>
          </w:p>
        </w:tc>
      </w:tr>
      <w:tr>
        <w:tblPrEx>
          <w:tblCellMar>
            <w:top w:w="0" w:type="dxa"/>
            <w:left w:w="108" w:type="dxa"/>
            <w:bottom w:w="0" w:type="dxa"/>
            <w:right w:w="108" w:type="dxa"/>
          </w:tblCellMar>
        </w:tblPrEx>
        <w:trPr>
          <w:trHeight w:val="270" w:hRule="atLeast"/>
          <w:jc w:val="center"/>
        </w:trPr>
        <w:tc>
          <w:tcPr>
            <w:tcW w:w="1734" w:type="dxa"/>
            <w:tcBorders>
              <w:top w:val="nil"/>
              <w:left w:val="nil"/>
              <w:bottom w:val="nil"/>
              <w:right w:val="nil"/>
            </w:tcBorders>
            <w:shd w:val="clear" w:color="000000" w:fill="FFFFFF"/>
            <w:noWrap/>
            <w:vAlign w:val="center"/>
          </w:tcPr>
          <w:p>
            <w:pPr>
              <w:widowControl/>
              <w:spacing w:line="320" w:lineRule="exact"/>
              <w:jc w:val="left"/>
              <w:rPr>
                <w:rFonts w:ascii="Calibri" w:hAnsi="Calibri" w:cs="宋体"/>
                <w:color w:val="000000"/>
                <w:kern w:val="0"/>
                <w:sz w:val="20"/>
                <w:szCs w:val="20"/>
              </w:rPr>
            </w:pPr>
            <w:r>
              <w:rPr>
                <w:rFonts w:ascii="Calibri" w:hAnsi="Calibri" w:cs="宋体"/>
                <w:color w:val="000000"/>
                <w:kern w:val="0"/>
                <w:sz w:val="20"/>
                <w:szCs w:val="20"/>
              </w:rPr>
              <w:t>应用英语</w:t>
            </w:r>
          </w:p>
        </w:tc>
        <w:tc>
          <w:tcPr>
            <w:tcW w:w="715" w:type="dxa"/>
            <w:tcBorders>
              <w:top w:val="nil"/>
              <w:left w:val="nil"/>
              <w:bottom w:val="nil"/>
              <w:right w:val="nil"/>
            </w:tcBorders>
            <w:shd w:val="clear" w:color="000000" w:fill="FFFFFF"/>
            <w:noWrap/>
            <w:vAlign w:val="center"/>
          </w:tcPr>
          <w:p>
            <w:pPr>
              <w:widowControl/>
              <w:spacing w:line="320" w:lineRule="exact"/>
              <w:jc w:val="center"/>
              <w:rPr>
                <w:rFonts w:ascii="Calibri" w:hAnsi="Calibri" w:cs="宋体"/>
                <w:color w:val="000000"/>
                <w:kern w:val="0"/>
                <w:sz w:val="20"/>
                <w:szCs w:val="20"/>
              </w:rPr>
            </w:pPr>
            <w:r>
              <w:rPr>
                <w:rFonts w:ascii="Calibri" w:hAnsi="Calibri" w:cs="宋体"/>
                <w:color w:val="000000"/>
                <w:kern w:val="0"/>
                <w:sz w:val="20"/>
                <w:szCs w:val="20"/>
              </w:rPr>
              <w:t>58.7</w:t>
            </w:r>
          </w:p>
        </w:tc>
        <w:tc>
          <w:tcPr>
            <w:tcW w:w="716" w:type="dxa"/>
            <w:tcBorders>
              <w:top w:val="nil"/>
              <w:left w:val="nil"/>
              <w:bottom w:val="nil"/>
              <w:right w:val="nil"/>
            </w:tcBorders>
            <w:shd w:val="clear" w:color="000000" w:fill="FFFFFF"/>
            <w:noWrap/>
            <w:vAlign w:val="center"/>
          </w:tcPr>
          <w:p>
            <w:pPr>
              <w:widowControl/>
              <w:spacing w:line="320" w:lineRule="exact"/>
              <w:jc w:val="center"/>
              <w:rPr>
                <w:rFonts w:ascii="Calibri" w:hAnsi="Calibri" w:cs="宋体"/>
                <w:color w:val="000000"/>
                <w:kern w:val="0"/>
                <w:sz w:val="20"/>
                <w:szCs w:val="20"/>
              </w:rPr>
            </w:pPr>
            <w:r>
              <w:rPr>
                <w:rFonts w:ascii="Calibri" w:hAnsi="Calibri" w:cs="宋体"/>
                <w:color w:val="000000"/>
                <w:kern w:val="0"/>
                <w:sz w:val="20"/>
                <w:szCs w:val="20"/>
              </w:rPr>
              <w:t>9.5</w:t>
            </w:r>
          </w:p>
        </w:tc>
        <w:tc>
          <w:tcPr>
            <w:tcW w:w="715" w:type="dxa"/>
            <w:tcBorders>
              <w:top w:val="nil"/>
              <w:left w:val="nil"/>
              <w:bottom w:val="nil"/>
              <w:right w:val="nil"/>
            </w:tcBorders>
            <w:shd w:val="clear" w:color="000000" w:fill="FFFFFF"/>
            <w:noWrap/>
            <w:vAlign w:val="center"/>
          </w:tcPr>
          <w:p>
            <w:pPr>
              <w:widowControl/>
              <w:spacing w:line="320" w:lineRule="exact"/>
              <w:jc w:val="center"/>
              <w:rPr>
                <w:rFonts w:ascii="Calibri" w:hAnsi="Calibri" w:cs="宋体"/>
                <w:color w:val="000000"/>
                <w:kern w:val="0"/>
                <w:sz w:val="20"/>
                <w:szCs w:val="20"/>
              </w:rPr>
            </w:pPr>
            <w:r>
              <w:rPr>
                <w:rFonts w:ascii="Calibri" w:hAnsi="Calibri" w:cs="宋体"/>
                <w:color w:val="000000"/>
                <w:kern w:val="0"/>
                <w:sz w:val="20"/>
                <w:szCs w:val="20"/>
              </w:rPr>
              <w:t>0.0</w:t>
            </w:r>
          </w:p>
        </w:tc>
        <w:tc>
          <w:tcPr>
            <w:tcW w:w="716" w:type="dxa"/>
            <w:tcBorders>
              <w:top w:val="nil"/>
              <w:left w:val="nil"/>
              <w:bottom w:val="nil"/>
              <w:right w:val="nil"/>
            </w:tcBorders>
            <w:shd w:val="clear" w:color="000000" w:fill="FFFFFF"/>
            <w:noWrap/>
            <w:vAlign w:val="center"/>
          </w:tcPr>
          <w:p>
            <w:pPr>
              <w:widowControl/>
              <w:spacing w:line="320" w:lineRule="exact"/>
              <w:jc w:val="center"/>
              <w:rPr>
                <w:rFonts w:ascii="Calibri" w:hAnsi="Calibri" w:cs="宋体"/>
                <w:color w:val="000000"/>
                <w:kern w:val="0"/>
                <w:sz w:val="20"/>
                <w:szCs w:val="20"/>
              </w:rPr>
            </w:pPr>
            <w:r>
              <w:rPr>
                <w:rFonts w:ascii="Calibri" w:hAnsi="Calibri" w:cs="宋体"/>
                <w:color w:val="000000"/>
                <w:kern w:val="0"/>
                <w:sz w:val="20"/>
                <w:szCs w:val="20"/>
              </w:rPr>
              <w:t>8.7</w:t>
            </w:r>
          </w:p>
        </w:tc>
        <w:tc>
          <w:tcPr>
            <w:tcW w:w="716" w:type="dxa"/>
            <w:tcBorders>
              <w:top w:val="nil"/>
              <w:left w:val="nil"/>
              <w:bottom w:val="nil"/>
              <w:right w:val="nil"/>
            </w:tcBorders>
            <w:shd w:val="clear" w:color="000000" w:fill="FFFFFF"/>
            <w:noWrap/>
            <w:vAlign w:val="center"/>
          </w:tcPr>
          <w:p>
            <w:pPr>
              <w:widowControl/>
              <w:spacing w:line="320" w:lineRule="exact"/>
              <w:jc w:val="center"/>
              <w:rPr>
                <w:rFonts w:ascii="Calibri" w:hAnsi="Calibri" w:cs="宋体"/>
                <w:color w:val="000000"/>
                <w:kern w:val="0"/>
                <w:sz w:val="20"/>
                <w:szCs w:val="20"/>
              </w:rPr>
            </w:pPr>
            <w:r>
              <w:rPr>
                <w:rFonts w:ascii="Calibri" w:hAnsi="Calibri" w:cs="宋体"/>
                <w:color w:val="000000"/>
                <w:kern w:val="0"/>
                <w:sz w:val="20"/>
                <w:szCs w:val="20"/>
              </w:rPr>
              <w:t>4.8</w:t>
            </w:r>
          </w:p>
        </w:tc>
        <w:tc>
          <w:tcPr>
            <w:tcW w:w="715" w:type="dxa"/>
            <w:tcBorders>
              <w:top w:val="nil"/>
              <w:left w:val="nil"/>
              <w:bottom w:val="nil"/>
              <w:right w:val="nil"/>
            </w:tcBorders>
            <w:shd w:val="clear" w:color="000000" w:fill="FFFFFF"/>
            <w:noWrap/>
            <w:vAlign w:val="center"/>
          </w:tcPr>
          <w:p>
            <w:pPr>
              <w:widowControl/>
              <w:spacing w:line="320" w:lineRule="exact"/>
              <w:jc w:val="center"/>
              <w:rPr>
                <w:rFonts w:ascii="Calibri" w:hAnsi="Calibri" w:cs="宋体"/>
                <w:color w:val="000000"/>
                <w:kern w:val="0"/>
                <w:sz w:val="20"/>
                <w:szCs w:val="20"/>
              </w:rPr>
            </w:pPr>
            <w:r>
              <w:rPr>
                <w:rFonts w:ascii="Calibri" w:hAnsi="Calibri" w:cs="宋体"/>
                <w:color w:val="000000"/>
                <w:kern w:val="0"/>
                <w:sz w:val="20"/>
                <w:szCs w:val="20"/>
              </w:rPr>
              <w:t>0.0</w:t>
            </w:r>
          </w:p>
        </w:tc>
        <w:tc>
          <w:tcPr>
            <w:tcW w:w="716" w:type="dxa"/>
            <w:tcBorders>
              <w:top w:val="nil"/>
              <w:left w:val="nil"/>
              <w:bottom w:val="nil"/>
              <w:right w:val="nil"/>
            </w:tcBorders>
            <w:shd w:val="clear" w:color="000000" w:fill="FFFFFF"/>
            <w:noWrap/>
            <w:vAlign w:val="center"/>
          </w:tcPr>
          <w:p>
            <w:pPr>
              <w:widowControl/>
              <w:spacing w:line="320" w:lineRule="exact"/>
              <w:jc w:val="center"/>
              <w:rPr>
                <w:rFonts w:ascii="Calibri" w:hAnsi="Calibri" w:cs="宋体"/>
                <w:color w:val="000000"/>
                <w:kern w:val="0"/>
                <w:sz w:val="20"/>
                <w:szCs w:val="20"/>
              </w:rPr>
            </w:pPr>
            <w:r>
              <w:rPr>
                <w:rFonts w:ascii="Calibri" w:hAnsi="Calibri" w:cs="宋体"/>
                <w:color w:val="000000"/>
                <w:kern w:val="0"/>
                <w:sz w:val="20"/>
                <w:szCs w:val="20"/>
              </w:rPr>
              <w:t>4.0</w:t>
            </w:r>
          </w:p>
        </w:tc>
        <w:tc>
          <w:tcPr>
            <w:tcW w:w="715" w:type="dxa"/>
            <w:tcBorders>
              <w:top w:val="nil"/>
              <w:left w:val="nil"/>
              <w:bottom w:val="nil"/>
              <w:right w:val="nil"/>
            </w:tcBorders>
            <w:shd w:val="clear" w:color="000000" w:fill="FFFFFF"/>
            <w:noWrap/>
            <w:vAlign w:val="center"/>
          </w:tcPr>
          <w:p>
            <w:pPr>
              <w:widowControl/>
              <w:spacing w:line="320" w:lineRule="exact"/>
              <w:jc w:val="center"/>
              <w:rPr>
                <w:rFonts w:ascii="Calibri" w:hAnsi="Calibri" w:cs="宋体"/>
                <w:color w:val="000000"/>
                <w:kern w:val="0"/>
                <w:sz w:val="20"/>
                <w:szCs w:val="20"/>
              </w:rPr>
            </w:pPr>
            <w:r>
              <w:rPr>
                <w:rFonts w:ascii="Calibri" w:hAnsi="Calibri" w:cs="宋体"/>
                <w:color w:val="000000"/>
                <w:kern w:val="0"/>
                <w:sz w:val="20"/>
                <w:szCs w:val="20"/>
              </w:rPr>
              <w:t>0.0</w:t>
            </w:r>
          </w:p>
        </w:tc>
        <w:tc>
          <w:tcPr>
            <w:tcW w:w="716" w:type="dxa"/>
            <w:tcBorders>
              <w:top w:val="nil"/>
              <w:left w:val="nil"/>
              <w:bottom w:val="nil"/>
              <w:right w:val="nil"/>
            </w:tcBorders>
            <w:shd w:val="clear" w:color="000000" w:fill="FFFFFF"/>
            <w:noWrap/>
            <w:vAlign w:val="center"/>
          </w:tcPr>
          <w:p>
            <w:pPr>
              <w:widowControl/>
              <w:spacing w:line="320" w:lineRule="exact"/>
              <w:jc w:val="center"/>
              <w:rPr>
                <w:rFonts w:ascii="Calibri" w:hAnsi="Calibri" w:cs="宋体"/>
                <w:color w:val="000000"/>
                <w:kern w:val="0"/>
                <w:sz w:val="20"/>
                <w:szCs w:val="20"/>
              </w:rPr>
            </w:pPr>
            <w:r>
              <w:rPr>
                <w:rFonts w:ascii="Calibri" w:hAnsi="Calibri" w:cs="宋体"/>
                <w:color w:val="000000"/>
                <w:kern w:val="0"/>
                <w:sz w:val="20"/>
                <w:szCs w:val="20"/>
              </w:rPr>
              <w:t>0.0</w:t>
            </w:r>
          </w:p>
        </w:tc>
        <w:tc>
          <w:tcPr>
            <w:tcW w:w="716" w:type="dxa"/>
            <w:tcBorders>
              <w:top w:val="nil"/>
              <w:left w:val="nil"/>
              <w:bottom w:val="nil"/>
              <w:right w:val="nil"/>
            </w:tcBorders>
            <w:shd w:val="clear" w:color="000000" w:fill="FFFFFF"/>
            <w:noWrap/>
            <w:vAlign w:val="center"/>
          </w:tcPr>
          <w:p>
            <w:pPr>
              <w:widowControl/>
              <w:spacing w:line="320" w:lineRule="exact"/>
              <w:jc w:val="center"/>
              <w:rPr>
                <w:rFonts w:ascii="Calibri" w:hAnsi="Calibri" w:cs="宋体"/>
                <w:color w:val="000000"/>
                <w:kern w:val="0"/>
                <w:sz w:val="20"/>
                <w:szCs w:val="20"/>
              </w:rPr>
            </w:pPr>
            <w:r>
              <w:rPr>
                <w:rFonts w:ascii="Calibri" w:hAnsi="Calibri" w:cs="宋体"/>
                <w:color w:val="000000"/>
                <w:kern w:val="0"/>
                <w:sz w:val="20"/>
                <w:szCs w:val="20"/>
              </w:rPr>
              <w:t>14.3</w:t>
            </w:r>
          </w:p>
        </w:tc>
      </w:tr>
      <w:tr>
        <w:tblPrEx>
          <w:tblCellMar>
            <w:top w:w="0" w:type="dxa"/>
            <w:left w:w="108" w:type="dxa"/>
            <w:bottom w:w="0" w:type="dxa"/>
            <w:right w:w="108" w:type="dxa"/>
          </w:tblCellMar>
        </w:tblPrEx>
        <w:trPr>
          <w:trHeight w:val="270" w:hRule="atLeast"/>
          <w:jc w:val="center"/>
        </w:trPr>
        <w:tc>
          <w:tcPr>
            <w:tcW w:w="1734" w:type="dxa"/>
            <w:tcBorders>
              <w:top w:val="nil"/>
              <w:left w:val="nil"/>
              <w:bottom w:val="nil"/>
              <w:right w:val="nil"/>
            </w:tcBorders>
            <w:shd w:val="clear" w:color="000000" w:fill="BEEDF8"/>
            <w:noWrap/>
            <w:vAlign w:val="center"/>
          </w:tcPr>
          <w:p>
            <w:pPr>
              <w:widowControl/>
              <w:spacing w:line="320" w:lineRule="exact"/>
              <w:jc w:val="left"/>
              <w:rPr>
                <w:rFonts w:ascii="Calibri" w:hAnsi="Calibri" w:cs="宋体"/>
                <w:color w:val="000000"/>
                <w:kern w:val="0"/>
                <w:sz w:val="20"/>
                <w:szCs w:val="20"/>
              </w:rPr>
            </w:pPr>
            <w:r>
              <w:rPr>
                <w:rFonts w:ascii="Calibri" w:hAnsi="Calibri" w:cs="宋体"/>
                <w:color w:val="000000"/>
                <w:kern w:val="0"/>
                <w:sz w:val="20"/>
                <w:szCs w:val="20"/>
              </w:rPr>
              <w:t>酒店管理</w:t>
            </w:r>
          </w:p>
        </w:tc>
        <w:tc>
          <w:tcPr>
            <w:tcW w:w="715" w:type="dxa"/>
            <w:tcBorders>
              <w:top w:val="nil"/>
              <w:left w:val="nil"/>
              <w:bottom w:val="nil"/>
              <w:right w:val="nil"/>
            </w:tcBorders>
            <w:shd w:val="clear" w:color="000000" w:fill="BEEDF8"/>
            <w:noWrap/>
            <w:vAlign w:val="center"/>
          </w:tcPr>
          <w:p>
            <w:pPr>
              <w:widowControl/>
              <w:spacing w:line="320" w:lineRule="exact"/>
              <w:jc w:val="center"/>
              <w:rPr>
                <w:rFonts w:ascii="Calibri" w:hAnsi="Calibri" w:cs="宋体"/>
                <w:color w:val="000000"/>
                <w:kern w:val="0"/>
                <w:sz w:val="20"/>
                <w:szCs w:val="20"/>
              </w:rPr>
            </w:pPr>
            <w:r>
              <w:rPr>
                <w:rFonts w:ascii="Calibri" w:hAnsi="Calibri" w:cs="宋体"/>
                <w:color w:val="000000"/>
                <w:kern w:val="0"/>
                <w:sz w:val="20"/>
                <w:szCs w:val="20"/>
              </w:rPr>
              <w:t>56.3</w:t>
            </w:r>
          </w:p>
        </w:tc>
        <w:tc>
          <w:tcPr>
            <w:tcW w:w="716" w:type="dxa"/>
            <w:tcBorders>
              <w:top w:val="nil"/>
              <w:left w:val="nil"/>
              <w:bottom w:val="nil"/>
              <w:right w:val="nil"/>
            </w:tcBorders>
            <w:shd w:val="clear" w:color="000000" w:fill="BEEDF8"/>
            <w:noWrap/>
            <w:vAlign w:val="center"/>
          </w:tcPr>
          <w:p>
            <w:pPr>
              <w:widowControl/>
              <w:spacing w:line="320" w:lineRule="exact"/>
              <w:jc w:val="center"/>
              <w:rPr>
                <w:rFonts w:ascii="Calibri" w:hAnsi="Calibri" w:cs="宋体"/>
                <w:color w:val="000000"/>
                <w:kern w:val="0"/>
                <w:sz w:val="20"/>
                <w:szCs w:val="20"/>
              </w:rPr>
            </w:pPr>
            <w:r>
              <w:rPr>
                <w:rFonts w:ascii="Calibri" w:hAnsi="Calibri" w:cs="宋体"/>
                <w:color w:val="000000"/>
                <w:kern w:val="0"/>
                <w:sz w:val="20"/>
                <w:szCs w:val="20"/>
              </w:rPr>
              <w:t>17.1</w:t>
            </w:r>
          </w:p>
        </w:tc>
        <w:tc>
          <w:tcPr>
            <w:tcW w:w="715" w:type="dxa"/>
            <w:tcBorders>
              <w:top w:val="nil"/>
              <w:left w:val="nil"/>
              <w:bottom w:val="nil"/>
              <w:right w:val="nil"/>
            </w:tcBorders>
            <w:shd w:val="clear" w:color="000000" w:fill="BEEDF8"/>
            <w:noWrap/>
            <w:vAlign w:val="center"/>
          </w:tcPr>
          <w:p>
            <w:pPr>
              <w:widowControl/>
              <w:spacing w:line="320" w:lineRule="exact"/>
              <w:jc w:val="center"/>
              <w:rPr>
                <w:rFonts w:ascii="Calibri" w:hAnsi="Calibri" w:cs="宋体"/>
                <w:color w:val="000000"/>
                <w:kern w:val="0"/>
                <w:sz w:val="20"/>
                <w:szCs w:val="20"/>
              </w:rPr>
            </w:pPr>
            <w:r>
              <w:rPr>
                <w:rFonts w:ascii="Calibri" w:hAnsi="Calibri" w:cs="宋体"/>
                <w:color w:val="000000"/>
                <w:kern w:val="0"/>
                <w:sz w:val="20"/>
                <w:szCs w:val="20"/>
              </w:rPr>
              <w:t>6.6</w:t>
            </w:r>
          </w:p>
        </w:tc>
        <w:tc>
          <w:tcPr>
            <w:tcW w:w="716" w:type="dxa"/>
            <w:tcBorders>
              <w:top w:val="nil"/>
              <w:left w:val="nil"/>
              <w:bottom w:val="nil"/>
              <w:right w:val="nil"/>
            </w:tcBorders>
            <w:shd w:val="clear" w:color="000000" w:fill="BEEDF8"/>
            <w:noWrap/>
            <w:vAlign w:val="center"/>
          </w:tcPr>
          <w:p>
            <w:pPr>
              <w:widowControl/>
              <w:spacing w:line="320" w:lineRule="exact"/>
              <w:jc w:val="center"/>
              <w:rPr>
                <w:rFonts w:ascii="Calibri" w:hAnsi="Calibri" w:cs="宋体"/>
                <w:color w:val="000000"/>
                <w:kern w:val="0"/>
                <w:sz w:val="20"/>
                <w:szCs w:val="20"/>
              </w:rPr>
            </w:pPr>
            <w:r>
              <w:rPr>
                <w:rFonts w:ascii="Calibri" w:hAnsi="Calibri" w:cs="宋体"/>
                <w:color w:val="000000"/>
                <w:kern w:val="0"/>
                <w:sz w:val="20"/>
                <w:szCs w:val="20"/>
              </w:rPr>
              <w:t>3.5</w:t>
            </w:r>
          </w:p>
        </w:tc>
        <w:tc>
          <w:tcPr>
            <w:tcW w:w="716" w:type="dxa"/>
            <w:tcBorders>
              <w:top w:val="nil"/>
              <w:left w:val="nil"/>
              <w:bottom w:val="nil"/>
              <w:right w:val="nil"/>
            </w:tcBorders>
            <w:shd w:val="clear" w:color="000000" w:fill="BEEDF8"/>
            <w:noWrap/>
            <w:vAlign w:val="center"/>
          </w:tcPr>
          <w:p>
            <w:pPr>
              <w:widowControl/>
              <w:spacing w:line="320" w:lineRule="exact"/>
              <w:jc w:val="center"/>
              <w:rPr>
                <w:rFonts w:ascii="Calibri" w:hAnsi="Calibri" w:cs="宋体"/>
                <w:color w:val="000000"/>
                <w:kern w:val="0"/>
                <w:sz w:val="20"/>
                <w:szCs w:val="20"/>
              </w:rPr>
            </w:pPr>
            <w:r>
              <w:rPr>
                <w:rFonts w:ascii="Calibri" w:hAnsi="Calibri" w:cs="宋体"/>
                <w:color w:val="000000"/>
                <w:kern w:val="0"/>
                <w:sz w:val="20"/>
                <w:szCs w:val="20"/>
              </w:rPr>
              <w:t>0.3</w:t>
            </w:r>
          </w:p>
        </w:tc>
        <w:tc>
          <w:tcPr>
            <w:tcW w:w="715" w:type="dxa"/>
            <w:tcBorders>
              <w:top w:val="nil"/>
              <w:left w:val="nil"/>
              <w:bottom w:val="nil"/>
              <w:right w:val="nil"/>
            </w:tcBorders>
            <w:shd w:val="clear" w:color="000000" w:fill="BEEDF8"/>
            <w:noWrap/>
            <w:vAlign w:val="center"/>
          </w:tcPr>
          <w:p>
            <w:pPr>
              <w:widowControl/>
              <w:spacing w:line="320" w:lineRule="exact"/>
              <w:jc w:val="center"/>
              <w:rPr>
                <w:rFonts w:ascii="Calibri" w:hAnsi="Calibri" w:cs="宋体"/>
                <w:color w:val="000000"/>
                <w:kern w:val="0"/>
                <w:sz w:val="20"/>
                <w:szCs w:val="20"/>
              </w:rPr>
            </w:pPr>
            <w:r>
              <w:rPr>
                <w:rFonts w:ascii="Calibri" w:hAnsi="Calibri" w:cs="宋体"/>
                <w:color w:val="000000"/>
                <w:kern w:val="0"/>
                <w:sz w:val="20"/>
                <w:szCs w:val="20"/>
              </w:rPr>
              <w:t>0.3</w:t>
            </w:r>
          </w:p>
        </w:tc>
        <w:tc>
          <w:tcPr>
            <w:tcW w:w="716" w:type="dxa"/>
            <w:tcBorders>
              <w:top w:val="nil"/>
              <w:left w:val="nil"/>
              <w:bottom w:val="nil"/>
              <w:right w:val="nil"/>
            </w:tcBorders>
            <w:shd w:val="clear" w:color="000000" w:fill="BEEDF8"/>
            <w:noWrap/>
            <w:vAlign w:val="center"/>
          </w:tcPr>
          <w:p>
            <w:pPr>
              <w:widowControl/>
              <w:spacing w:line="320" w:lineRule="exact"/>
              <w:jc w:val="center"/>
              <w:rPr>
                <w:rFonts w:ascii="Calibri" w:hAnsi="Calibri" w:cs="宋体"/>
                <w:color w:val="000000"/>
                <w:kern w:val="0"/>
                <w:sz w:val="20"/>
                <w:szCs w:val="20"/>
              </w:rPr>
            </w:pPr>
            <w:r>
              <w:rPr>
                <w:rFonts w:ascii="Calibri" w:hAnsi="Calibri" w:cs="宋体"/>
                <w:color w:val="000000"/>
                <w:kern w:val="0"/>
                <w:sz w:val="20"/>
                <w:szCs w:val="20"/>
              </w:rPr>
              <w:t>0.7</w:t>
            </w:r>
          </w:p>
        </w:tc>
        <w:tc>
          <w:tcPr>
            <w:tcW w:w="715" w:type="dxa"/>
            <w:tcBorders>
              <w:top w:val="nil"/>
              <w:left w:val="nil"/>
              <w:bottom w:val="nil"/>
              <w:right w:val="nil"/>
            </w:tcBorders>
            <w:shd w:val="clear" w:color="000000" w:fill="BEEDF8"/>
            <w:noWrap/>
            <w:vAlign w:val="center"/>
          </w:tcPr>
          <w:p>
            <w:pPr>
              <w:widowControl/>
              <w:spacing w:line="320" w:lineRule="exact"/>
              <w:jc w:val="center"/>
              <w:rPr>
                <w:rFonts w:ascii="Calibri" w:hAnsi="Calibri" w:cs="宋体"/>
                <w:color w:val="000000"/>
                <w:kern w:val="0"/>
                <w:sz w:val="20"/>
                <w:szCs w:val="20"/>
              </w:rPr>
            </w:pPr>
            <w:r>
              <w:rPr>
                <w:rFonts w:ascii="Calibri" w:hAnsi="Calibri" w:cs="宋体"/>
                <w:color w:val="000000"/>
                <w:kern w:val="0"/>
                <w:sz w:val="20"/>
                <w:szCs w:val="20"/>
              </w:rPr>
              <w:t>1.0</w:t>
            </w:r>
          </w:p>
        </w:tc>
        <w:tc>
          <w:tcPr>
            <w:tcW w:w="716" w:type="dxa"/>
            <w:tcBorders>
              <w:top w:val="nil"/>
              <w:left w:val="nil"/>
              <w:bottom w:val="nil"/>
              <w:right w:val="nil"/>
            </w:tcBorders>
            <w:shd w:val="clear" w:color="000000" w:fill="BEEDF8"/>
            <w:noWrap/>
            <w:vAlign w:val="center"/>
          </w:tcPr>
          <w:p>
            <w:pPr>
              <w:widowControl/>
              <w:spacing w:line="320" w:lineRule="exact"/>
              <w:jc w:val="center"/>
              <w:rPr>
                <w:rFonts w:ascii="Calibri" w:hAnsi="Calibri" w:cs="宋体"/>
                <w:color w:val="000000"/>
                <w:kern w:val="0"/>
                <w:sz w:val="20"/>
                <w:szCs w:val="20"/>
              </w:rPr>
            </w:pPr>
            <w:r>
              <w:rPr>
                <w:rFonts w:ascii="Calibri" w:hAnsi="Calibri" w:cs="宋体"/>
                <w:color w:val="000000"/>
                <w:kern w:val="0"/>
                <w:sz w:val="20"/>
                <w:szCs w:val="20"/>
              </w:rPr>
              <w:t>0.3</w:t>
            </w:r>
          </w:p>
        </w:tc>
        <w:tc>
          <w:tcPr>
            <w:tcW w:w="716" w:type="dxa"/>
            <w:tcBorders>
              <w:top w:val="nil"/>
              <w:left w:val="nil"/>
              <w:bottom w:val="nil"/>
              <w:right w:val="nil"/>
            </w:tcBorders>
            <w:shd w:val="clear" w:color="000000" w:fill="BEEDF8"/>
            <w:noWrap/>
            <w:vAlign w:val="center"/>
          </w:tcPr>
          <w:p>
            <w:pPr>
              <w:widowControl/>
              <w:spacing w:line="320" w:lineRule="exact"/>
              <w:jc w:val="center"/>
              <w:rPr>
                <w:rFonts w:ascii="Calibri" w:hAnsi="Calibri" w:cs="宋体"/>
                <w:color w:val="000000"/>
                <w:kern w:val="0"/>
                <w:sz w:val="20"/>
                <w:szCs w:val="20"/>
              </w:rPr>
            </w:pPr>
            <w:r>
              <w:rPr>
                <w:rFonts w:ascii="Calibri" w:hAnsi="Calibri" w:cs="宋体"/>
                <w:color w:val="000000"/>
                <w:kern w:val="0"/>
                <w:sz w:val="20"/>
                <w:szCs w:val="20"/>
              </w:rPr>
              <w:t>13.6</w:t>
            </w:r>
          </w:p>
        </w:tc>
      </w:tr>
      <w:tr>
        <w:tblPrEx>
          <w:tblCellMar>
            <w:top w:w="0" w:type="dxa"/>
            <w:left w:w="108" w:type="dxa"/>
            <w:bottom w:w="0" w:type="dxa"/>
            <w:right w:w="108" w:type="dxa"/>
          </w:tblCellMar>
        </w:tblPrEx>
        <w:trPr>
          <w:trHeight w:val="270" w:hRule="atLeast"/>
          <w:jc w:val="center"/>
        </w:trPr>
        <w:tc>
          <w:tcPr>
            <w:tcW w:w="1734" w:type="dxa"/>
            <w:tcBorders>
              <w:top w:val="nil"/>
              <w:left w:val="nil"/>
              <w:bottom w:val="nil"/>
              <w:right w:val="nil"/>
            </w:tcBorders>
            <w:shd w:val="clear" w:color="000000" w:fill="FFFFFF"/>
            <w:noWrap/>
            <w:vAlign w:val="center"/>
          </w:tcPr>
          <w:p>
            <w:pPr>
              <w:widowControl/>
              <w:spacing w:line="320" w:lineRule="exact"/>
              <w:jc w:val="left"/>
              <w:rPr>
                <w:rFonts w:ascii="Calibri" w:hAnsi="Calibri" w:cs="宋体"/>
                <w:color w:val="000000"/>
                <w:kern w:val="0"/>
                <w:sz w:val="20"/>
                <w:szCs w:val="20"/>
              </w:rPr>
            </w:pPr>
            <w:r>
              <w:rPr>
                <w:rFonts w:ascii="Calibri" w:hAnsi="Calibri" w:cs="宋体"/>
                <w:color w:val="000000"/>
                <w:kern w:val="0"/>
                <w:sz w:val="20"/>
                <w:szCs w:val="20"/>
              </w:rPr>
              <w:t>应用外语（葡萄牙语）</w:t>
            </w:r>
          </w:p>
        </w:tc>
        <w:tc>
          <w:tcPr>
            <w:tcW w:w="715" w:type="dxa"/>
            <w:tcBorders>
              <w:top w:val="nil"/>
              <w:left w:val="nil"/>
              <w:bottom w:val="nil"/>
              <w:right w:val="nil"/>
            </w:tcBorders>
            <w:shd w:val="clear" w:color="000000" w:fill="FFFFFF"/>
            <w:noWrap/>
            <w:vAlign w:val="center"/>
          </w:tcPr>
          <w:p>
            <w:pPr>
              <w:widowControl/>
              <w:spacing w:line="320" w:lineRule="exact"/>
              <w:jc w:val="center"/>
              <w:rPr>
                <w:rFonts w:ascii="Calibri" w:hAnsi="Calibri" w:cs="宋体"/>
                <w:color w:val="000000"/>
                <w:kern w:val="0"/>
                <w:sz w:val="20"/>
                <w:szCs w:val="20"/>
              </w:rPr>
            </w:pPr>
            <w:r>
              <w:rPr>
                <w:rFonts w:ascii="Calibri" w:hAnsi="Calibri" w:cs="宋体"/>
                <w:color w:val="000000"/>
                <w:kern w:val="0"/>
                <w:sz w:val="20"/>
                <w:szCs w:val="20"/>
              </w:rPr>
              <w:t>54.5</w:t>
            </w:r>
          </w:p>
        </w:tc>
        <w:tc>
          <w:tcPr>
            <w:tcW w:w="716" w:type="dxa"/>
            <w:tcBorders>
              <w:top w:val="nil"/>
              <w:left w:val="nil"/>
              <w:bottom w:val="nil"/>
              <w:right w:val="nil"/>
            </w:tcBorders>
            <w:shd w:val="clear" w:color="000000" w:fill="FFFFFF"/>
            <w:noWrap/>
            <w:vAlign w:val="center"/>
          </w:tcPr>
          <w:p>
            <w:pPr>
              <w:widowControl/>
              <w:spacing w:line="320" w:lineRule="exact"/>
              <w:jc w:val="center"/>
              <w:rPr>
                <w:rFonts w:ascii="Calibri" w:hAnsi="Calibri" w:cs="宋体"/>
                <w:color w:val="000000"/>
                <w:kern w:val="0"/>
                <w:sz w:val="20"/>
                <w:szCs w:val="20"/>
              </w:rPr>
            </w:pPr>
            <w:r>
              <w:rPr>
                <w:rFonts w:ascii="Calibri" w:hAnsi="Calibri" w:cs="宋体"/>
                <w:color w:val="000000"/>
                <w:kern w:val="0"/>
                <w:sz w:val="20"/>
                <w:szCs w:val="20"/>
              </w:rPr>
              <w:t>0.0</w:t>
            </w:r>
          </w:p>
        </w:tc>
        <w:tc>
          <w:tcPr>
            <w:tcW w:w="715" w:type="dxa"/>
            <w:tcBorders>
              <w:top w:val="nil"/>
              <w:left w:val="nil"/>
              <w:bottom w:val="nil"/>
              <w:right w:val="nil"/>
            </w:tcBorders>
            <w:shd w:val="clear" w:color="000000" w:fill="FFFFFF"/>
            <w:noWrap/>
            <w:vAlign w:val="center"/>
          </w:tcPr>
          <w:p>
            <w:pPr>
              <w:widowControl/>
              <w:spacing w:line="320" w:lineRule="exact"/>
              <w:jc w:val="center"/>
              <w:rPr>
                <w:rFonts w:ascii="Calibri" w:hAnsi="Calibri" w:cs="宋体"/>
                <w:color w:val="000000"/>
                <w:kern w:val="0"/>
                <w:sz w:val="20"/>
                <w:szCs w:val="20"/>
              </w:rPr>
            </w:pPr>
            <w:r>
              <w:rPr>
                <w:rFonts w:ascii="Calibri" w:hAnsi="Calibri" w:cs="宋体"/>
                <w:color w:val="000000"/>
                <w:kern w:val="0"/>
                <w:sz w:val="20"/>
                <w:szCs w:val="20"/>
              </w:rPr>
              <w:t>0.0</w:t>
            </w:r>
          </w:p>
        </w:tc>
        <w:tc>
          <w:tcPr>
            <w:tcW w:w="716" w:type="dxa"/>
            <w:tcBorders>
              <w:top w:val="nil"/>
              <w:left w:val="nil"/>
              <w:bottom w:val="nil"/>
              <w:right w:val="nil"/>
            </w:tcBorders>
            <w:shd w:val="clear" w:color="000000" w:fill="FFFFFF"/>
            <w:noWrap/>
            <w:vAlign w:val="center"/>
          </w:tcPr>
          <w:p>
            <w:pPr>
              <w:widowControl/>
              <w:spacing w:line="320" w:lineRule="exact"/>
              <w:jc w:val="center"/>
              <w:rPr>
                <w:rFonts w:ascii="Calibri" w:hAnsi="Calibri" w:cs="宋体"/>
                <w:color w:val="000000"/>
                <w:kern w:val="0"/>
                <w:sz w:val="20"/>
                <w:szCs w:val="20"/>
              </w:rPr>
            </w:pPr>
            <w:r>
              <w:rPr>
                <w:rFonts w:ascii="Calibri" w:hAnsi="Calibri" w:cs="宋体"/>
                <w:color w:val="000000"/>
                <w:kern w:val="0"/>
                <w:sz w:val="20"/>
                <w:szCs w:val="20"/>
              </w:rPr>
              <w:t>0.0</w:t>
            </w:r>
          </w:p>
        </w:tc>
        <w:tc>
          <w:tcPr>
            <w:tcW w:w="716" w:type="dxa"/>
            <w:tcBorders>
              <w:top w:val="nil"/>
              <w:left w:val="nil"/>
              <w:bottom w:val="nil"/>
              <w:right w:val="nil"/>
            </w:tcBorders>
            <w:shd w:val="clear" w:color="000000" w:fill="FFFFFF"/>
            <w:noWrap/>
            <w:vAlign w:val="center"/>
          </w:tcPr>
          <w:p>
            <w:pPr>
              <w:widowControl/>
              <w:spacing w:line="320" w:lineRule="exact"/>
              <w:jc w:val="center"/>
              <w:rPr>
                <w:rFonts w:ascii="Calibri" w:hAnsi="Calibri" w:cs="宋体"/>
                <w:color w:val="000000"/>
                <w:kern w:val="0"/>
                <w:sz w:val="20"/>
                <w:szCs w:val="20"/>
              </w:rPr>
            </w:pPr>
            <w:r>
              <w:rPr>
                <w:rFonts w:ascii="Calibri" w:hAnsi="Calibri" w:cs="宋体"/>
                <w:color w:val="000000"/>
                <w:kern w:val="0"/>
                <w:sz w:val="20"/>
                <w:szCs w:val="20"/>
              </w:rPr>
              <w:t>27.3</w:t>
            </w:r>
          </w:p>
        </w:tc>
        <w:tc>
          <w:tcPr>
            <w:tcW w:w="715" w:type="dxa"/>
            <w:tcBorders>
              <w:top w:val="nil"/>
              <w:left w:val="nil"/>
              <w:bottom w:val="nil"/>
              <w:right w:val="nil"/>
            </w:tcBorders>
            <w:shd w:val="clear" w:color="000000" w:fill="FFFFFF"/>
            <w:noWrap/>
            <w:vAlign w:val="center"/>
          </w:tcPr>
          <w:p>
            <w:pPr>
              <w:widowControl/>
              <w:spacing w:line="320" w:lineRule="exact"/>
              <w:jc w:val="center"/>
              <w:rPr>
                <w:rFonts w:ascii="Calibri" w:hAnsi="Calibri" w:cs="宋体"/>
                <w:color w:val="000000"/>
                <w:kern w:val="0"/>
                <w:sz w:val="20"/>
                <w:szCs w:val="20"/>
              </w:rPr>
            </w:pPr>
            <w:r>
              <w:rPr>
                <w:rFonts w:ascii="Calibri" w:hAnsi="Calibri" w:cs="宋体"/>
                <w:color w:val="000000"/>
                <w:kern w:val="0"/>
                <w:sz w:val="20"/>
                <w:szCs w:val="20"/>
              </w:rPr>
              <w:t>0.0</w:t>
            </w:r>
          </w:p>
        </w:tc>
        <w:tc>
          <w:tcPr>
            <w:tcW w:w="716" w:type="dxa"/>
            <w:tcBorders>
              <w:top w:val="nil"/>
              <w:left w:val="nil"/>
              <w:bottom w:val="nil"/>
              <w:right w:val="nil"/>
            </w:tcBorders>
            <w:shd w:val="clear" w:color="000000" w:fill="FFFFFF"/>
            <w:noWrap/>
            <w:vAlign w:val="center"/>
          </w:tcPr>
          <w:p>
            <w:pPr>
              <w:widowControl/>
              <w:spacing w:line="320" w:lineRule="exact"/>
              <w:jc w:val="center"/>
              <w:rPr>
                <w:rFonts w:ascii="Calibri" w:hAnsi="Calibri" w:cs="宋体"/>
                <w:color w:val="000000"/>
                <w:kern w:val="0"/>
                <w:sz w:val="20"/>
                <w:szCs w:val="20"/>
              </w:rPr>
            </w:pPr>
            <w:r>
              <w:rPr>
                <w:rFonts w:ascii="Calibri" w:hAnsi="Calibri" w:cs="宋体"/>
                <w:color w:val="000000"/>
                <w:kern w:val="0"/>
                <w:sz w:val="20"/>
                <w:szCs w:val="20"/>
              </w:rPr>
              <w:t>0.0</w:t>
            </w:r>
          </w:p>
        </w:tc>
        <w:tc>
          <w:tcPr>
            <w:tcW w:w="715" w:type="dxa"/>
            <w:tcBorders>
              <w:top w:val="nil"/>
              <w:left w:val="nil"/>
              <w:bottom w:val="nil"/>
              <w:right w:val="nil"/>
            </w:tcBorders>
            <w:shd w:val="clear" w:color="000000" w:fill="FFFFFF"/>
            <w:noWrap/>
            <w:vAlign w:val="center"/>
          </w:tcPr>
          <w:p>
            <w:pPr>
              <w:widowControl/>
              <w:spacing w:line="320" w:lineRule="exact"/>
              <w:jc w:val="center"/>
              <w:rPr>
                <w:rFonts w:ascii="Calibri" w:hAnsi="Calibri" w:cs="宋体"/>
                <w:color w:val="000000"/>
                <w:kern w:val="0"/>
                <w:sz w:val="20"/>
                <w:szCs w:val="20"/>
              </w:rPr>
            </w:pPr>
            <w:r>
              <w:rPr>
                <w:rFonts w:ascii="Calibri" w:hAnsi="Calibri" w:cs="宋体"/>
                <w:color w:val="000000"/>
                <w:kern w:val="0"/>
                <w:sz w:val="20"/>
                <w:szCs w:val="20"/>
              </w:rPr>
              <w:t>0.0</w:t>
            </w:r>
          </w:p>
        </w:tc>
        <w:tc>
          <w:tcPr>
            <w:tcW w:w="716" w:type="dxa"/>
            <w:tcBorders>
              <w:top w:val="nil"/>
              <w:left w:val="nil"/>
              <w:bottom w:val="nil"/>
              <w:right w:val="nil"/>
            </w:tcBorders>
            <w:shd w:val="clear" w:color="000000" w:fill="FFFFFF"/>
            <w:noWrap/>
            <w:vAlign w:val="center"/>
          </w:tcPr>
          <w:p>
            <w:pPr>
              <w:widowControl/>
              <w:spacing w:line="320" w:lineRule="exact"/>
              <w:jc w:val="center"/>
              <w:rPr>
                <w:rFonts w:ascii="Calibri" w:hAnsi="Calibri" w:cs="宋体"/>
                <w:color w:val="000000"/>
                <w:kern w:val="0"/>
                <w:sz w:val="20"/>
                <w:szCs w:val="20"/>
              </w:rPr>
            </w:pPr>
            <w:r>
              <w:rPr>
                <w:rFonts w:ascii="Calibri" w:hAnsi="Calibri" w:cs="宋体"/>
                <w:color w:val="000000"/>
                <w:kern w:val="0"/>
                <w:sz w:val="20"/>
                <w:szCs w:val="20"/>
              </w:rPr>
              <w:t>0.0</w:t>
            </w:r>
          </w:p>
        </w:tc>
        <w:tc>
          <w:tcPr>
            <w:tcW w:w="716" w:type="dxa"/>
            <w:tcBorders>
              <w:top w:val="nil"/>
              <w:left w:val="nil"/>
              <w:bottom w:val="nil"/>
              <w:right w:val="nil"/>
            </w:tcBorders>
            <w:shd w:val="clear" w:color="000000" w:fill="FFFFFF"/>
            <w:noWrap/>
            <w:vAlign w:val="center"/>
          </w:tcPr>
          <w:p>
            <w:pPr>
              <w:widowControl/>
              <w:spacing w:line="320" w:lineRule="exact"/>
              <w:jc w:val="center"/>
              <w:rPr>
                <w:rFonts w:ascii="Calibri" w:hAnsi="Calibri" w:cs="宋体"/>
                <w:color w:val="000000"/>
                <w:kern w:val="0"/>
                <w:sz w:val="20"/>
                <w:szCs w:val="20"/>
              </w:rPr>
            </w:pPr>
            <w:r>
              <w:rPr>
                <w:rFonts w:ascii="Calibri" w:hAnsi="Calibri" w:cs="宋体"/>
                <w:color w:val="000000"/>
                <w:kern w:val="0"/>
                <w:sz w:val="20"/>
                <w:szCs w:val="20"/>
              </w:rPr>
              <w:t>18.2</w:t>
            </w:r>
          </w:p>
        </w:tc>
      </w:tr>
      <w:tr>
        <w:tblPrEx>
          <w:tblCellMar>
            <w:top w:w="0" w:type="dxa"/>
            <w:left w:w="108" w:type="dxa"/>
            <w:bottom w:w="0" w:type="dxa"/>
            <w:right w:w="108" w:type="dxa"/>
          </w:tblCellMar>
        </w:tblPrEx>
        <w:trPr>
          <w:trHeight w:val="270" w:hRule="atLeast"/>
          <w:jc w:val="center"/>
        </w:trPr>
        <w:tc>
          <w:tcPr>
            <w:tcW w:w="1734" w:type="dxa"/>
            <w:tcBorders>
              <w:top w:val="nil"/>
              <w:left w:val="nil"/>
              <w:bottom w:val="nil"/>
              <w:right w:val="nil"/>
            </w:tcBorders>
            <w:shd w:val="clear" w:color="000000" w:fill="BEEDF8"/>
            <w:noWrap/>
            <w:vAlign w:val="center"/>
          </w:tcPr>
          <w:p>
            <w:pPr>
              <w:widowControl/>
              <w:spacing w:line="320" w:lineRule="exact"/>
              <w:jc w:val="left"/>
              <w:rPr>
                <w:rFonts w:ascii="Calibri" w:hAnsi="Calibri" w:cs="宋体"/>
                <w:color w:val="000000"/>
                <w:kern w:val="0"/>
                <w:sz w:val="20"/>
                <w:szCs w:val="20"/>
              </w:rPr>
            </w:pPr>
            <w:r>
              <w:rPr>
                <w:rFonts w:ascii="Calibri" w:hAnsi="Calibri" w:cs="宋体"/>
                <w:color w:val="000000"/>
                <w:kern w:val="0"/>
                <w:sz w:val="20"/>
                <w:szCs w:val="20"/>
              </w:rPr>
              <w:t>应用英语（英语翻译）</w:t>
            </w:r>
          </w:p>
        </w:tc>
        <w:tc>
          <w:tcPr>
            <w:tcW w:w="715" w:type="dxa"/>
            <w:tcBorders>
              <w:top w:val="nil"/>
              <w:left w:val="nil"/>
              <w:bottom w:val="nil"/>
              <w:right w:val="nil"/>
            </w:tcBorders>
            <w:shd w:val="clear" w:color="000000" w:fill="BEEDF8"/>
            <w:noWrap/>
            <w:vAlign w:val="center"/>
          </w:tcPr>
          <w:p>
            <w:pPr>
              <w:widowControl/>
              <w:spacing w:line="320" w:lineRule="exact"/>
              <w:jc w:val="center"/>
              <w:rPr>
                <w:rFonts w:ascii="Calibri" w:hAnsi="Calibri" w:cs="宋体"/>
                <w:color w:val="000000"/>
                <w:kern w:val="0"/>
                <w:sz w:val="20"/>
                <w:szCs w:val="20"/>
              </w:rPr>
            </w:pPr>
            <w:r>
              <w:rPr>
                <w:rFonts w:ascii="Calibri" w:hAnsi="Calibri" w:cs="宋体"/>
                <w:color w:val="000000"/>
                <w:kern w:val="0"/>
                <w:sz w:val="20"/>
                <w:szCs w:val="20"/>
              </w:rPr>
              <w:t>48.9</w:t>
            </w:r>
          </w:p>
        </w:tc>
        <w:tc>
          <w:tcPr>
            <w:tcW w:w="716" w:type="dxa"/>
            <w:tcBorders>
              <w:top w:val="nil"/>
              <w:left w:val="nil"/>
              <w:bottom w:val="nil"/>
              <w:right w:val="nil"/>
            </w:tcBorders>
            <w:shd w:val="clear" w:color="000000" w:fill="BEEDF8"/>
            <w:noWrap/>
            <w:vAlign w:val="center"/>
          </w:tcPr>
          <w:p>
            <w:pPr>
              <w:widowControl/>
              <w:spacing w:line="320" w:lineRule="exact"/>
              <w:jc w:val="center"/>
              <w:rPr>
                <w:rFonts w:ascii="Calibri" w:hAnsi="Calibri" w:cs="宋体"/>
                <w:color w:val="000000"/>
                <w:kern w:val="0"/>
                <w:sz w:val="20"/>
                <w:szCs w:val="20"/>
              </w:rPr>
            </w:pPr>
            <w:r>
              <w:rPr>
                <w:rFonts w:ascii="Calibri" w:hAnsi="Calibri" w:cs="宋体"/>
                <w:color w:val="000000"/>
                <w:kern w:val="0"/>
                <w:sz w:val="20"/>
                <w:szCs w:val="20"/>
              </w:rPr>
              <w:t>4.4</w:t>
            </w:r>
          </w:p>
        </w:tc>
        <w:tc>
          <w:tcPr>
            <w:tcW w:w="715" w:type="dxa"/>
            <w:tcBorders>
              <w:top w:val="nil"/>
              <w:left w:val="nil"/>
              <w:bottom w:val="nil"/>
              <w:right w:val="nil"/>
            </w:tcBorders>
            <w:shd w:val="clear" w:color="000000" w:fill="BEEDF8"/>
            <w:noWrap/>
            <w:vAlign w:val="center"/>
          </w:tcPr>
          <w:p>
            <w:pPr>
              <w:widowControl/>
              <w:spacing w:line="320" w:lineRule="exact"/>
              <w:jc w:val="center"/>
              <w:rPr>
                <w:rFonts w:ascii="Calibri" w:hAnsi="Calibri" w:cs="宋体"/>
                <w:color w:val="000000"/>
                <w:kern w:val="0"/>
                <w:sz w:val="20"/>
                <w:szCs w:val="20"/>
              </w:rPr>
            </w:pPr>
            <w:r>
              <w:rPr>
                <w:rFonts w:ascii="Calibri" w:hAnsi="Calibri" w:cs="宋体"/>
                <w:color w:val="000000"/>
                <w:kern w:val="0"/>
                <w:sz w:val="20"/>
                <w:szCs w:val="20"/>
              </w:rPr>
              <w:t>0.0</w:t>
            </w:r>
          </w:p>
        </w:tc>
        <w:tc>
          <w:tcPr>
            <w:tcW w:w="716" w:type="dxa"/>
            <w:tcBorders>
              <w:top w:val="nil"/>
              <w:left w:val="nil"/>
              <w:bottom w:val="nil"/>
              <w:right w:val="nil"/>
            </w:tcBorders>
            <w:shd w:val="clear" w:color="000000" w:fill="BEEDF8"/>
            <w:noWrap/>
            <w:vAlign w:val="center"/>
          </w:tcPr>
          <w:p>
            <w:pPr>
              <w:widowControl/>
              <w:spacing w:line="320" w:lineRule="exact"/>
              <w:jc w:val="center"/>
              <w:rPr>
                <w:rFonts w:ascii="Calibri" w:hAnsi="Calibri" w:cs="宋体"/>
                <w:color w:val="000000"/>
                <w:kern w:val="0"/>
                <w:sz w:val="20"/>
                <w:szCs w:val="20"/>
              </w:rPr>
            </w:pPr>
            <w:r>
              <w:rPr>
                <w:rFonts w:ascii="Calibri" w:hAnsi="Calibri" w:cs="宋体"/>
                <w:color w:val="000000"/>
                <w:kern w:val="0"/>
                <w:sz w:val="20"/>
                <w:szCs w:val="20"/>
              </w:rPr>
              <w:t>44.4</w:t>
            </w:r>
          </w:p>
        </w:tc>
        <w:tc>
          <w:tcPr>
            <w:tcW w:w="716" w:type="dxa"/>
            <w:tcBorders>
              <w:top w:val="nil"/>
              <w:left w:val="nil"/>
              <w:bottom w:val="nil"/>
              <w:right w:val="nil"/>
            </w:tcBorders>
            <w:shd w:val="clear" w:color="000000" w:fill="BEEDF8"/>
            <w:noWrap/>
            <w:vAlign w:val="center"/>
          </w:tcPr>
          <w:p>
            <w:pPr>
              <w:widowControl/>
              <w:spacing w:line="320" w:lineRule="exact"/>
              <w:jc w:val="center"/>
              <w:rPr>
                <w:rFonts w:ascii="Calibri" w:hAnsi="Calibri" w:cs="宋体"/>
                <w:color w:val="000000"/>
                <w:kern w:val="0"/>
                <w:sz w:val="20"/>
                <w:szCs w:val="20"/>
              </w:rPr>
            </w:pPr>
            <w:r>
              <w:rPr>
                <w:rFonts w:ascii="Calibri" w:hAnsi="Calibri" w:cs="宋体"/>
                <w:color w:val="000000"/>
                <w:kern w:val="0"/>
                <w:sz w:val="20"/>
                <w:szCs w:val="20"/>
              </w:rPr>
              <w:t>0.0</w:t>
            </w:r>
          </w:p>
        </w:tc>
        <w:tc>
          <w:tcPr>
            <w:tcW w:w="715" w:type="dxa"/>
            <w:tcBorders>
              <w:top w:val="nil"/>
              <w:left w:val="nil"/>
              <w:bottom w:val="nil"/>
              <w:right w:val="nil"/>
            </w:tcBorders>
            <w:shd w:val="clear" w:color="000000" w:fill="BEEDF8"/>
            <w:noWrap/>
            <w:vAlign w:val="center"/>
          </w:tcPr>
          <w:p>
            <w:pPr>
              <w:widowControl/>
              <w:spacing w:line="320" w:lineRule="exact"/>
              <w:jc w:val="center"/>
              <w:rPr>
                <w:rFonts w:ascii="Calibri" w:hAnsi="Calibri" w:cs="宋体"/>
                <w:color w:val="000000"/>
                <w:kern w:val="0"/>
                <w:sz w:val="20"/>
                <w:szCs w:val="20"/>
              </w:rPr>
            </w:pPr>
            <w:r>
              <w:rPr>
                <w:rFonts w:ascii="Calibri" w:hAnsi="Calibri" w:cs="宋体"/>
                <w:color w:val="000000"/>
                <w:kern w:val="0"/>
                <w:sz w:val="20"/>
                <w:szCs w:val="20"/>
              </w:rPr>
              <w:t>0.0</w:t>
            </w:r>
          </w:p>
        </w:tc>
        <w:tc>
          <w:tcPr>
            <w:tcW w:w="716" w:type="dxa"/>
            <w:tcBorders>
              <w:top w:val="nil"/>
              <w:left w:val="nil"/>
              <w:bottom w:val="nil"/>
              <w:right w:val="nil"/>
            </w:tcBorders>
            <w:shd w:val="clear" w:color="000000" w:fill="BEEDF8"/>
            <w:noWrap/>
            <w:vAlign w:val="center"/>
          </w:tcPr>
          <w:p>
            <w:pPr>
              <w:widowControl/>
              <w:spacing w:line="320" w:lineRule="exact"/>
              <w:jc w:val="center"/>
              <w:rPr>
                <w:rFonts w:ascii="Calibri" w:hAnsi="Calibri" w:cs="宋体"/>
                <w:color w:val="000000"/>
                <w:kern w:val="0"/>
                <w:sz w:val="20"/>
                <w:szCs w:val="20"/>
              </w:rPr>
            </w:pPr>
            <w:r>
              <w:rPr>
                <w:rFonts w:ascii="Calibri" w:hAnsi="Calibri" w:cs="宋体"/>
                <w:color w:val="000000"/>
                <w:kern w:val="0"/>
                <w:sz w:val="20"/>
                <w:szCs w:val="20"/>
              </w:rPr>
              <w:t>0.0</w:t>
            </w:r>
          </w:p>
        </w:tc>
        <w:tc>
          <w:tcPr>
            <w:tcW w:w="715" w:type="dxa"/>
            <w:tcBorders>
              <w:top w:val="nil"/>
              <w:left w:val="nil"/>
              <w:bottom w:val="nil"/>
              <w:right w:val="nil"/>
            </w:tcBorders>
            <w:shd w:val="clear" w:color="000000" w:fill="BEEDF8"/>
            <w:noWrap/>
            <w:vAlign w:val="center"/>
          </w:tcPr>
          <w:p>
            <w:pPr>
              <w:widowControl/>
              <w:spacing w:line="320" w:lineRule="exact"/>
              <w:jc w:val="center"/>
              <w:rPr>
                <w:rFonts w:ascii="Calibri" w:hAnsi="Calibri" w:cs="宋体"/>
                <w:color w:val="000000"/>
                <w:kern w:val="0"/>
                <w:sz w:val="20"/>
                <w:szCs w:val="20"/>
              </w:rPr>
            </w:pPr>
            <w:r>
              <w:rPr>
                <w:rFonts w:ascii="Calibri" w:hAnsi="Calibri" w:cs="宋体"/>
                <w:color w:val="000000"/>
                <w:kern w:val="0"/>
                <w:sz w:val="20"/>
                <w:szCs w:val="20"/>
              </w:rPr>
              <w:t>0.0</w:t>
            </w:r>
          </w:p>
        </w:tc>
        <w:tc>
          <w:tcPr>
            <w:tcW w:w="716" w:type="dxa"/>
            <w:tcBorders>
              <w:top w:val="nil"/>
              <w:left w:val="nil"/>
              <w:bottom w:val="nil"/>
              <w:right w:val="nil"/>
            </w:tcBorders>
            <w:shd w:val="clear" w:color="000000" w:fill="BEEDF8"/>
            <w:noWrap/>
            <w:vAlign w:val="center"/>
          </w:tcPr>
          <w:p>
            <w:pPr>
              <w:widowControl/>
              <w:spacing w:line="320" w:lineRule="exact"/>
              <w:jc w:val="center"/>
              <w:rPr>
                <w:rFonts w:ascii="Calibri" w:hAnsi="Calibri" w:cs="宋体"/>
                <w:color w:val="000000"/>
                <w:kern w:val="0"/>
                <w:sz w:val="20"/>
                <w:szCs w:val="20"/>
              </w:rPr>
            </w:pPr>
            <w:r>
              <w:rPr>
                <w:rFonts w:ascii="Calibri" w:hAnsi="Calibri" w:cs="宋体"/>
                <w:color w:val="000000"/>
                <w:kern w:val="0"/>
                <w:sz w:val="20"/>
                <w:szCs w:val="20"/>
              </w:rPr>
              <w:t>0.0</w:t>
            </w:r>
          </w:p>
        </w:tc>
        <w:tc>
          <w:tcPr>
            <w:tcW w:w="716" w:type="dxa"/>
            <w:tcBorders>
              <w:top w:val="nil"/>
              <w:left w:val="nil"/>
              <w:bottom w:val="nil"/>
              <w:right w:val="nil"/>
            </w:tcBorders>
            <w:shd w:val="clear" w:color="000000" w:fill="BEEDF8"/>
            <w:noWrap/>
            <w:vAlign w:val="center"/>
          </w:tcPr>
          <w:p>
            <w:pPr>
              <w:widowControl/>
              <w:spacing w:line="320" w:lineRule="exact"/>
              <w:jc w:val="center"/>
              <w:rPr>
                <w:rFonts w:ascii="Calibri" w:hAnsi="Calibri" w:cs="宋体"/>
                <w:color w:val="000000"/>
                <w:kern w:val="0"/>
                <w:sz w:val="20"/>
                <w:szCs w:val="20"/>
              </w:rPr>
            </w:pPr>
            <w:r>
              <w:rPr>
                <w:rFonts w:ascii="Calibri" w:hAnsi="Calibri" w:cs="宋体"/>
                <w:color w:val="000000"/>
                <w:kern w:val="0"/>
                <w:sz w:val="20"/>
                <w:szCs w:val="20"/>
              </w:rPr>
              <w:t>2.2</w:t>
            </w:r>
          </w:p>
        </w:tc>
      </w:tr>
      <w:tr>
        <w:tblPrEx>
          <w:tblCellMar>
            <w:top w:w="0" w:type="dxa"/>
            <w:left w:w="108" w:type="dxa"/>
            <w:bottom w:w="0" w:type="dxa"/>
            <w:right w:w="108" w:type="dxa"/>
          </w:tblCellMar>
        </w:tblPrEx>
        <w:trPr>
          <w:trHeight w:val="270" w:hRule="atLeast"/>
          <w:jc w:val="center"/>
        </w:trPr>
        <w:tc>
          <w:tcPr>
            <w:tcW w:w="1734" w:type="dxa"/>
            <w:tcBorders>
              <w:top w:val="nil"/>
              <w:left w:val="nil"/>
              <w:bottom w:val="nil"/>
              <w:right w:val="nil"/>
            </w:tcBorders>
            <w:shd w:val="clear" w:color="000000" w:fill="FFFFFF"/>
            <w:noWrap/>
            <w:vAlign w:val="center"/>
          </w:tcPr>
          <w:p>
            <w:pPr>
              <w:widowControl/>
              <w:spacing w:line="320" w:lineRule="exact"/>
              <w:jc w:val="left"/>
              <w:rPr>
                <w:rFonts w:ascii="Calibri" w:hAnsi="Calibri" w:cs="宋体"/>
                <w:color w:val="000000"/>
                <w:kern w:val="0"/>
                <w:sz w:val="20"/>
                <w:szCs w:val="20"/>
              </w:rPr>
            </w:pPr>
            <w:r>
              <w:rPr>
                <w:rFonts w:ascii="Calibri" w:hAnsi="Calibri" w:cs="宋体"/>
                <w:color w:val="000000"/>
                <w:kern w:val="0"/>
                <w:sz w:val="20"/>
                <w:szCs w:val="20"/>
              </w:rPr>
              <w:t>会展策划与管理</w:t>
            </w:r>
          </w:p>
        </w:tc>
        <w:tc>
          <w:tcPr>
            <w:tcW w:w="715" w:type="dxa"/>
            <w:tcBorders>
              <w:top w:val="nil"/>
              <w:left w:val="nil"/>
              <w:bottom w:val="nil"/>
              <w:right w:val="nil"/>
            </w:tcBorders>
            <w:shd w:val="clear" w:color="000000" w:fill="FFFFFF"/>
            <w:noWrap/>
            <w:vAlign w:val="center"/>
          </w:tcPr>
          <w:p>
            <w:pPr>
              <w:widowControl/>
              <w:spacing w:line="320" w:lineRule="exact"/>
              <w:jc w:val="center"/>
              <w:rPr>
                <w:rFonts w:ascii="Calibri" w:hAnsi="Calibri" w:cs="宋体"/>
                <w:color w:val="000000"/>
                <w:kern w:val="0"/>
                <w:sz w:val="20"/>
                <w:szCs w:val="20"/>
              </w:rPr>
            </w:pPr>
            <w:r>
              <w:rPr>
                <w:rFonts w:ascii="Calibri" w:hAnsi="Calibri" w:cs="宋体"/>
                <w:color w:val="000000"/>
                <w:kern w:val="0"/>
                <w:sz w:val="20"/>
                <w:szCs w:val="20"/>
              </w:rPr>
              <w:t>46.2</w:t>
            </w:r>
          </w:p>
        </w:tc>
        <w:tc>
          <w:tcPr>
            <w:tcW w:w="716" w:type="dxa"/>
            <w:tcBorders>
              <w:top w:val="nil"/>
              <w:left w:val="nil"/>
              <w:bottom w:val="nil"/>
              <w:right w:val="nil"/>
            </w:tcBorders>
            <w:shd w:val="clear" w:color="000000" w:fill="FFFFFF"/>
            <w:noWrap/>
            <w:vAlign w:val="center"/>
          </w:tcPr>
          <w:p>
            <w:pPr>
              <w:widowControl/>
              <w:spacing w:line="320" w:lineRule="exact"/>
              <w:jc w:val="center"/>
              <w:rPr>
                <w:rFonts w:ascii="Calibri" w:hAnsi="Calibri" w:cs="宋体"/>
                <w:color w:val="000000"/>
                <w:kern w:val="0"/>
                <w:sz w:val="20"/>
                <w:szCs w:val="20"/>
              </w:rPr>
            </w:pPr>
            <w:r>
              <w:rPr>
                <w:rFonts w:ascii="Calibri" w:hAnsi="Calibri" w:cs="宋体"/>
                <w:color w:val="000000"/>
                <w:kern w:val="0"/>
                <w:sz w:val="20"/>
                <w:szCs w:val="20"/>
              </w:rPr>
              <w:t>30.8</w:t>
            </w:r>
          </w:p>
        </w:tc>
        <w:tc>
          <w:tcPr>
            <w:tcW w:w="715" w:type="dxa"/>
            <w:tcBorders>
              <w:top w:val="nil"/>
              <w:left w:val="nil"/>
              <w:bottom w:val="nil"/>
              <w:right w:val="nil"/>
            </w:tcBorders>
            <w:shd w:val="clear" w:color="000000" w:fill="FFFFFF"/>
            <w:noWrap/>
            <w:vAlign w:val="center"/>
          </w:tcPr>
          <w:p>
            <w:pPr>
              <w:widowControl/>
              <w:spacing w:line="320" w:lineRule="exact"/>
              <w:jc w:val="center"/>
              <w:rPr>
                <w:rFonts w:ascii="Calibri" w:hAnsi="Calibri" w:cs="宋体"/>
                <w:color w:val="000000"/>
                <w:kern w:val="0"/>
                <w:sz w:val="20"/>
                <w:szCs w:val="20"/>
              </w:rPr>
            </w:pPr>
            <w:r>
              <w:rPr>
                <w:rFonts w:ascii="Calibri" w:hAnsi="Calibri" w:cs="宋体"/>
                <w:color w:val="000000"/>
                <w:kern w:val="0"/>
                <w:sz w:val="20"/>
                <w:szCs w:val="20"/>
              </w:rPr>
              <w:t>11.5</w:t>
            </w:r>
          </w:p>
        </w:tc>
        <w:tc>
          <w:tcPr>
            <w:tcW w:w="716" w:type="dxa"/>
            <w:tcBorders>
              <w:top w:val="nil"/>
              <w:left w:val="nil"/>
              <w:bottom w:val="nil"/>
              <w:right w:val="nil"/>
            </w:tcBorders>
            <w:shd w:val="clear" w:color="000000" w:fill="FFFFFF"/>
            <w:noWrap/>
            <w:vAlign w:val="center"/>
          </w:tcPr>
          <w:p>
            <w:pPr>
              <w:widowControl/>
              <w:spacing w:line="320" w:lineRule="exact"/>
              <w:jc w:val="center"/>
              <w:rPr>
                <w:rFonts w:ascii="Calibri" w:hAnsi="Calibri" w:cs="宋体"/>
                <w:color w:val="000000"/>
                <w:kern w:val="0"/>
                <w:sz w:val="20"/>
                <w:szCs w:val="20"/>
              </w:rPr>
            </w:pPr>
            <w:r>
              <w:rPr>
                <w:rFonts w:ascii="Calibri" w:hAnsi="Calibri" w:cs="宋体"/>
                <w:color w:val="000000"/>
                <w:kern w:val="0"/>
                <w:sz w:val="20"/>
                <w:szCs w:val="20"/>
              </w:rPr>
              <w:t>7.7</w:t>
            </w:r>
          </w:p>
        </w:tc>
        <w:tc>
          <w:tcPr>
            <w:tcW w:w="716" w:type="dxa"/>
            <w:tcBorders>
              <w:top w:val="nil"/>
              <w:left w:val="nil"/>
              <w:bottom w:val="nil"/>
              <w:right w:val="nil"/>
            </w:tcBorders>
            <w:shd w:val="clear" w:color="000000" w:fill="FFFFFF"/>
            <w:noWrap/>
            <w:vAlign w:val="center"/>
          </w:tcPr>
          <w:p>
            <w:pPr>
              <w:widowControl/>
              <w:spacing w:line="320" w:lineRule="exact"/>
              <w:jc w:val="center"/>
              <w:rPr>
                <w:rFonts w:ascii="Calibri" w:hAnsi="Calibri" w:cs="宋体"/>
                <w:color w:val="000000"/>
                <w:kern w:val="0"/>
                <w:sz w:val="20"/>
                <w:szCs w:val="20"/>
              </w:rPr>
            </w:pPr>
            <w:r>
              <w:rPr>
                <w:rFonts w:ascii="Calibri" w:hAnsi="Calibri" w:cs="宋体"/>
                <w:color w:val="000000"/>
                <w:kern w:val="0"/>
                <w:sz w:val="20"/>
                <w:szCs w:val="20"/>
              </w:rPr>
              <w:t>0.0</w:t>
            </w:r>
          </w:p>
        </w:tc>
        <w:tc>
          <w:tcPr>
            <w:tcW w:w="715" w:type="dxa"/>
            <w:tcBorders>
              <w:top w:val="nil"/>
              <w:left w:val="nil"/>
              <w:bottom w:val="nil"/>
              <w:right w:val="nil"/>
            </w:tcBorders>
            <w:shd w:val="clear" w:color="000000" w:fill="FFFFFF"/>
            <w:noWrap/>
            <w:vAlign w:val="center"/>
          </w:tcPr>
          <w:p>
            <w:pPr>
              <w:widowControl/>
              <w:spacing w:line="320" w:lineRule="exact"/>
              <w:jc w:val="center"/>
              <w:rPr>
                <w:rFonts w:ascii="Calibri" w:hAnsi="Calibri" w:cs="宋体"/>
                <w:color w:val="000000"/>
                <w:kern w:val="0"/>
                <w:sz w:val="20"/>
                <w:szCs w:val="20"/>
              </w:rPr>
            </w:pPr>
            <w:r>
              <w:rPr>
                <w:rFonts w:ascii="Calibri" w:hAnsi="Calibri" w:cs="宋体"/>
                <w:color w:val="000000"/>
                <w:kern w:val="0"/>
                <w:sz w:val="20"/>
                <w:szCs w:val="20"/>
              </w:rPr>
              <w:t>3.8</w:t>
            </w:r>
          </w:p>
        </w:tc>
        <w:tc>
          <w:tcPr>
            <w:tcW w:w="716" w:type="dxa"/>
            <w:tcBorders>
              <w:top w:val="nil"/>
              <w:left w:val="nil"/>
              <w:bottom w:val="nil"/>
              <w:right w:val="nil"/>
            </w:tcBorders>
            <w:shd w:val="clear" w:color="000000" w:fill="FFFFFF"/>
            <w:noWrap/>
            <w:vAlign w:val="center"/>
          </w:tcPr>
          <w:p>
            <w:pPr>
              <w:widowControl/>
              <w:spacing w:line="320" w:lineRule="exact"/>
              <w:jc w:val="center"/>
              <w:rPr>
                <w:rFonts w:ascii="Calibri" w:hAnsi="Calibri" w:cs="宋体"/>
                <w:color w:val="000000"/>
                <w:kern w:val="0"/>
                <w:sz w:val="20"/>
                <w:szCs w:val="20"/>
              </w:rPr>
            </w:pPr>
            <w:r>
              <w:rPr>
                <w:rFonts w:ascii="Calibri" w:hAnsi="Calibri" w:cs="宋体"/>
                <w:color w:val="000000"/>
                <w:kern w:val="0"/>
                <w:sz w:val="20"/>
                <w:szCs w:val="20"/>
              </w:rPr>
              <w:t>0.0</w:t>
            </w:r>
          </w:p>
        </w:tc>
        <w:tc>
          <w:tcPr>
            <w:tcW w:w="715" w:type="dxa"/>
            <w:tcBorders>
              <w:top w:val="nil"/>
              <w:left w:val="nil"/>
              <w:bottom w:val="nil"/>
              <w:right w:val="nil"/>
            </w:tcBorders>
            <w:shd w:val="clear" w:color="000000" w:fill="FFFFFF"/>
            <w:noWrap/>
            <w:vAlign w:val="center"/>
          </w:tcPr>
          <w:p>
            <w:pPr>
              <w:widowControl/>
              <w:spacing w:line="320" w:lineRule="exact"/>
              <w:jc w:val="center"/>
              <w:rPr>
                <w:rFonts w:ascii="Calibri" w:hAnsi="Calibri" w:cs="宋体"/>
                <w:color w:val="000000"/>
                <w:kern w:val="0"/>
                <w:sz w:val="20"/>
                <w:szCs w:val="20"/>
              </w:rPr>
            </w:pPr>
            <w:r>
              <w:rPr>
                <w:rFonts w:ascii="Calibri" w:hAnsi="Calibri" w:cs="宋体"/>
                <w:color w:val="000000"/>
                <w:kern w:val="0"/>
                <w:sz w:val="20"/>
                <w:szCs w:val="20"/>
              </w:rPr>
              <w:t>0.0</w:t>
            </w:r>
          </w:p>
        </w:tc>
        <w:tc>
          <w:tcPr>
            <w:tcW w:w="716" w:type="dxa"/>
            <w:tcBorders>
              <w:top w:val="nil"/>
              <w:left w:val="nil"/>
              <w:bottom w:val="nil"/>
              <w:right w:val="nil"/>
            </w:tcBorders>
            <w:shd w:val="clear" w:color="000000" w:fill="FFFFFF"/>
            <w:noWrap/>
            <w:vAlign w:val="center"/>
          </w:tcPr>
          <w:p>
            <w:pPr>
              <w:widowControl/>
              <w:spacing w:line="320" w:lineRule="exact"/>
              <w:jc w:val="center"/>
              <w:rPr>
                <w:rFonts w:ascii="Calibri" w:hAnsi="Calibri" w:cs="宋体"/>
                <w:color w:val="000000"/>
                <w:kern w:val="0"/>
                <w:sz w:val="20"/>
                <w:szCs w:val="20"/>
              </w:rPr>
            </w:pPr>
            <w:r>
              <w:rPr>
                <w:rFonts w:ascii="Calibri" w:hAnsi="Calibri" w:cs="宋体"/>
                <w:color w:val="000000"/>
                <w:kern w:val="0"/>
                <w:sz w:val="20"/>
                <w:szCs w:val="20"/>
              </w:rPr>
              <w:t>0.0</w:t>
            </w:r>
          </w:p>
        </w:tc>
        <w:tc>
          <w:tcPr>
            <w:tcW w:w="716" w:type="dxa"/>
            <w:tcBorders>
              <w:top w:val="nil"/>
              <w:left w:val="nil"/>
              <w:bottom w:val="nil"/>
              <w:right w:val="nil"/>
            </w:tcBorders>
            <w:shd w:val="clear" w:color="000000" w:fill="FFFFFF"/>
            <w:noWrap/>
            <w:vAlign w:val="center"/>
          </w:tcPr>
          <w:p>
            <w:pPr>
              <w:widowControl/>
              <w:spacing w:line="320" w:lineRule="exact"/>
              <w:jc w:val="center"/>
              <w:rPr>
                <w:rFonts w:ascii="Calibri" w:hAnsi="Calibri" w:cs="宋体"/>
                <w:color w:val="000000"/>
                <w:kern w:val="0"/>
                <w:sz w:val="20"/>
                <w:szCs w:val="20"/>
              </w:rPr>
            </w:pPr>
            <w:r>
              <w:rPr>
                <w:rFonts w:ascii="Calibri" w:hAnsi="Calibri" w:cs="宋体"/>
                <w:color w:val="000000"/>
                <w:kern w:val="0"/>
                <w:sz w:val="20"/>
                <w:szCs w:val="20"/>
              </w:rPr>
              <w:t>0.0</w:t>
            </w:r>
          </w:p>
        </w:tc>
      </w:tr>
      <w:tr>
        <w:tblPrEx>
          <w:tblCellMar>
            <w:top w:w="0" w:type="dxa"/>
            <w:left w:w="108" w:type="dxa"/>
            <w:bottom w:w="0" w:type="dxa"/>
            <w:right w:w="108" w:type="dxa"/>
          </w:tblCellMar>
        </w:tblPrEx>
        <w:trPr>
          <w:trHeight w:val="270" w:hRule="atLeast"/>
          <w:jc w:val="center"/>
        </w:trPr>
        <w:tc>
          <w:tcPr>
            <w:tcW w:w="1734" w:type="dxa"/>
            <w:tcBorders>
              <w:top w:val="nil"/>
              <w:left w:val="nil"/>
              <w:bottom w:val="nil"/>
              <w:right w:val="nil"/>
            </w:tcBorders>
            <w:shd w:val="clear" w:color="000000" w:fill="BEEDF8"/>
            <w:noWrap/>
            <w:vAlign w:val="center"/>
          </w:tcPr>
          <w:p>
            <w:pPr>
              <w:widowControl/>
              <w:spacing w:line="320" w:lineRule="exact"/>
              <w:jc w:val="left"/>
              <w:rPr>
                <w:rFonts w:ascii="Calibri" w:hAnsi="Calibri" w:cs="宋体"/>
                <w:color w:val="000000"/>
                <w:kern w:val="0"/>
                <w:sz w:val="20"/>
                <w:szCs w:val="20"/>
              </w:rPr>
            </w:pPr>
            <w:r>
              <w:rPr>
                <w:rFonts w:ascii="Calibri" w:hAnsi="Calibri" w:cs="宋体"/>
                <w:color w:val="000000"/>
                <w:kern w:val="0"/>
                <w:sz w:val="20"/>
                <w:szCs w:val="20"/>
              </w:rPr>
              <w:t>应用西班牙语</w:t>
            </w:r>
          </w:p>
        </w:tc>
        <w:tc>
          <w:tcPr>
            <w:tcW w:w="715" w:type="dxa"/>
            <w:tcBorders>
              <w:top w:val="nil"/>
              <w:left w:val="nil"/>
              <w:bottom w:val="nil"/>
              <w:right w:val="nil"/>
            </w:tcBorders>
            <w:shd w:val="clear" w:color="000000" w:fill="BEEDF8"/>
            <w:noWrap/>
            <w:vAlign w:val="center"/>
          </w:tcPr>
          <w:p>
            <w:pPr>
              <w:widowControl/>
              <w:spacing w:line="320" w:lineRule="exact"/>
              <w:jc w:val="center"/>
              <w:rPr>
                <w:rFonts w:ascii="Calibri" w:hAnsi="Calibri" w:cs="宋体"/>
                <w:color w:val="000000"/>
                <w:kern w:val="0"/>
                <w:sz w:val="20"/>
                <w:szCs w:val="20"/>
              </w:rPr>
            </w:pPr>
            <w:r>
              <w:rPr>
                <w:rFonts w:ascii="Calibri" w:hAnsi="Calibri" w:cs="宋体"/>
                <w:color w:val="000000"/>
                <w:kern w:val="0"/>
                <w:sz w:val="20"/>
                <w:szCs w:val="20"/>
              </w:rPr>
              <w:t>44.1</w:t>
            </w:r>
          </w:p>
        </w:tc>
        <w:tc>
          <w:tcPr>
            <w:tcW w:w="716" w:type="dxa"/>
            <w:tcBorders>
              <w:top w:val="nil"/>
              <w:left w:val="nil"/>
              <w:bottom w:val="nil"/>
              <w:right w:val="nil"/>
            </w:tcBorders>
            <w:shd w:val="clear" w:color="000000" w:fill="BEEDF8"/>
            <w:noWrap/>
            <w:vAlign w:val="center"/>
          </w:tcPr>
          <w:p>
            <w:pPr>
              <w:widowControl/>
              <w:spacing w:line="320" w:lineRule="exact"/>
              <w:jc w:val="center"/>
              <w:rPr>
                <w:rFonts w:ascii="Calibri" w:hAnsi="Calibri" w:cs="宋体"/>
                <w:color w:val="000000"/>
                <w:kern w:val="0"/>
                <w:sz w:val="20"/>
                <w:szCs w:val="20"/>
              </w:rPr>
            </w:pPr>
            <w:r>
              <w:rPr>
                <w:rFonts w:ascii="Calibri" w:hAnsi="Calibri" w:cs="宋体"/>
                <w:color w:val="000000"/>
                <w:kern w:val="0"/>
                <w:sz w:val="20"/>
                <w:szCs w:val="20"/>
              </w:rPr>
              <w:t>41.2</w:t>
            </w:r>
          </w:p>
        </w:tc>
        <w:tc>
          <w:tcPr>
            <w:tcW w:w="715" w:type="dxa"/>
            <w:tcBorders>
              <w:top w:val="nil"/>
              <w:left w:val="nil"/>
              <w:bottom w:val="nil"/>
              <w:right w:val="nil"/>
            </w:tcBorders>
            <w:shd w:val="clear" w:color="000000" w:fill="BEEDF8"/>
            <w:noWrap/>
            <w:vAlign w:val="center"/>
          </w:tcPr>
          <w:p>
            <w:pPr>
              <w:widowControl/>
              <w:spacing w:line="320" w:lineRule="exact"/>
              <w:jc w:val="center"/>
              <w:rPr>
                <w:rFonts w:ascii="Calibri" w:hAnsi="Calibri" w:cs="宋体"/>
                <w:color w:val="000000"/>
                <w:kern w:val="0"/>
                <w:sz w:val="20"/>
                <w:szCs w:val="20"/>
              </w:rPr>
            </w:pPr>
            <w:r>
              <w:rPr>
                <w:rFonts w:ascii="Calibri" w:hAnsi="Calibri" w:cs="宋体"/>
                <w:color w:val="000000"/>
                <w:kern w:val="0"/>
                <w:sz w:val="20"/>
                <w:szCs w:val="20"/>
              </w:rPr>
              <w:t>0.0</w:t>
            </w:r>
          </w:p>
        </w:tc>
        <w:tc>
          <w:tcPr>
            <w:tcW w:w="716" w:type="dxa"/>
            <w:tcBorders>
              <w:top w:val="nil"/>
              <w:left w:val="nil"/>
              <w:bottom w:val="nil"/>
              <w:right w:val="nil"/>
            </w:tcBorders>
            <w:shd w:val="clear" w:color="000000" w:fill="BEEDF8"/>
            <w:noWrap/>
            <w:vAlign w:val="center"/>
          </w:tcPr>
          <w:p>
            <w:pPr>
              <w:widowControl/>
              <w:spacing w:line="320" w:lineRule="exact"/>
              <w:jc w:val="center"/>
              <w:rPr>
                <w:rFonts w:ascii="Calibri" w:hAnsi="Calibri" w:cs="宋体"/>
                <w:color w:val="000000"/>
                <w:kern w:val="0"/>
                <w:sz w:val="20"/>
                <w:szCs w:val="20"/>
              </w:rPr>
            </w:pPr>
            <w:r>
              <w:rPr>
                <w:rFonts w:ascii="Calibri" w:hAnsi="Calibri" w:cs="宋体"/>
                <w:color w:val="000000"/>
                <w:kern w:val="0"/>
                <w:sz w:val="20"/>
                <w:szCs w:val="20"/>
              </w:rPr>
              <w:t>11.8</w:t>
            </w:r>
          </w:p>
        </w:tc>
        <w:tc>
          <w:tcPr>
            <w:tcW w:w="716" w:type="dxa"/>
            <w:tcBorders>
              <w:top w:val="nil"/>
              <w:left w:val="nil"/>
              <w:bottom w:val="nil"/>
              <w:right w:val="nil"/>
            </w:tcBorders>
            <w:shd w:val="clear" w:color="000000" w:fill="BEEDF8"/>
            <w:noWrap/>
            <w:vAlign w:val="center"/>
          </w:tcPr>
          <w:p>
            <w:pPr>
              <w:widowControl/>
              <w:spacing w:line="320" w:lineRule="exact"/>
              <w:jc w:val="center"/>
              <w:rPr>
                <w:rFonts w:ascii="Calibri" w:hAnsi="Calibri" w:cs="宋体"/>
                <w:color w:val="000000"/>
                <w:kern w:val="0"/>
                <w:sz w:val="20"/>
                <w:szCs w:val="20"/>
              </w:rPr>
            </w:pPr>
            <w:r>
              <w:rPr>
                <w:rFonts w:ascii="Calibri" w:hAnsi="Calibri" w:cs="宋体"/>
                <w:color w:val="000000"/>
                <w:kern w:val="0"/>
                <w:sz w:val="20"/>
                <w:szCs w:val="20"/>
              </w:rPr>
              <w:t>0.0</w:t>
            </w:r>
          </w:p>
        </w:tc>
        <w:tc>
          <w:tcPr>
            <w:tcW w:w="715" w:type="dxa"/>
            <w:tcBorders>
              <w:top w:val="nil"/>
              <w:left w:val="nil"/>
              <w:bottom w:val="nil"/>
              <w:right w:val="nil"/>
            </w:tcBorders>
            <w:shd w:val="clear" w:color="000000" w:fill="BEEDF8"/>
            <w:noWrap/>
            <w:vAlign w:val="center"/>
          </w:tcPr>
          <w:p>
            <w:pPr>
              <w:widowControl/>
              <w:spacing w:line="320" w:lineRule="exact"/>
              <w:jc w:val="center"/>
              <w:rPr>
                <w:rFonts w:ascii="Calibri" w:hAnsi="Calibri" w:cs="宋体"/>
                <w:color w:val="000000"/>
                <w:kern w:val="0"/>
                <w:sz w:val="20"/>
                <w:szCs w:val="20"/>
              </w:rPr>
            </w:pPr>
            <w:r>
              <w:rPr>
                <w:rFonts w:ascii="Calibri" w:hAnsi="Calibri" w:cs="宋体"/>
                <w:color w:val="000000"/>
                <w:kern w:val="0"/>
                <w:sz w:val="20"/>
                <w:szCs w:val="20"/>
              </w:rPr>
              <w:t>0.0</w:t>
            </w:r>
          </w:p>
        </w:tc>
        <w:tc>
          <w:tcPr>
            <w:tcW w:w="716" w:type="dxa"/>
            <w:tcBorders>
              <w:top w:val="nil"/>
              <w:left w:val="nil"/>
              <w:bottom w:val="nil"/>
              <w:right w:val="nil"/>
            </w:tcBorders>
            <w:shd w:val="clear" w:color="000000" w:fill="BEEDF8"/>
            <w:noWrap/>
            <w:vAlign w:val="center"/>
          </w:tcPr>
          <w:p>
            <w:pPr>
              <w:widowControl/>
              <w:spacing w:line="320" w:lineRule="exact"/>
              <w:jc w:val="center"/>
              <w:rPr>
                <w:rFonts w:ascii="Calibri" w:hAnsi="Calibri" w:cs="宋体"/>
                <w:color w:val="000000"/>
                <w:kern w:val="0"/>
                <w:sz w:val="20"/>
                <w:szCs w:val="20"/>
              </w:rPr>
            </w:pPr>
            <w:r>
              <w:rPr>
                <w:rFonts w:ascii="Calibri" w:hAnsi="Calibri" w:cs="宋体"/>
                <w:color w:val="000000"/>
                <w:kern w:val="0"/>
                <w:sz w:val="20"/>
                <w:szCs w:val="20"/>
              </w:rPr>
              <w:t>0.0</w:t>
            </w:r>
          </w:p>
        </w:tc>
        <w:tc>
          <w:tcPr>
            <w:tcW w:w="715" w:type="dxa"/>
            <w:tcBorders>
              <w:top w:val="nil"/>
              <w:left w:val="nil"/>
              <w:bottom w:val="nil"/>
              <w:right w:val="nil"/>
            </w:tcBorders>
            <w:shd w:val="clear" w:color="000000" w:fill="BEEDF8"/>
            <w:noWrap/>
            <w:vAlign w:val="center"/>
          </w:tcPr>
          <w:p>
            <w:pPr>
              <w:widowControl/>
              <w:spacing w:line="320" w:lineRule="exact"/>
              <w:jc w:val="center"/>
              <w:rPr>
                <w:rFonts w:ascii="Calibri" w:hAnsi="Calibri" w:cs="宋体"/>
                <w:color w:val="000000"/>
                <w:kern w:val="0"/>
                <w:sz w:val="20"/>
                <w:szCs w:val="20"/>
              </w:rPr>
            </w:pPr>
            <w:r>
              <w:rPr>
                <w:rFonts w:ascii="Calibri" w:hAnsi="Calibri" w:cs="宋体"/>
                <w:color w:val="000000"/>
                <w:kern w:val="0"/>
                <w:sz w:val="20"/>
                <w:szCs w:val="20"/>
              </w:rPr>
              <w:t>0.0</w:t>
            </w:r>
          </w:p>
        </w:tc>
        <w:tc>
          <w:tcPr>
            <w:tcW w:w="716" w:type="dxa"/>
            <w:tcBorders>
              <w:top w:val="nil"/>
              <w:left w:val="nil"/>
              <w:bottom w:val="nil"/>
              <w:right w:val="nil"/>
            </w:tcBorders>
            <w:shd w:val="clear" w:color="000000" w:fill="BEEDF8"/>
            <w:noWrap/>
            <w:vAlign w:val="center"/>
          </w:tcPr>
          <w:p>
            <w:pPr>
              <w:widowControl/>
              <w:spacing w:line="320" w:lineRule="exact"/>
              <w:jc w:val="center"/>
              <w:rPr>
                <w:rFonts w:ascii="Calibri" w:hAnsi="Calibri" w:cs="宋体"/>
                <w:color w:val="000000"/>
                <w:kern w:val="0"/>
                <w:sz w:val="20"/>
                <w:szCs w:val="20"/>
              </w:rPr>
            </w:pPr>
            <w:r>
              <w:rPr>
                <w:rFonts w:ascii="Calibri" w:hAnsi="Calibri" w:cs="宋体"/>
                <w:color w:val="000000"/>
                <w:kern w:val="0"/>
                <w:sz w:val="20"/>
                <w:szCs w:val="20"/>
              </w:rPr>
              <w:t>0.0</w:t>
            </w:r>
          </w:p>
        </w:tc>
        <w:tc>
          <w:tcPr>
            <w:tcW w:w="716" w:type="dxa"/>
            <w:tcBorders>
              <w:top w:val="nil"/>
              <w:left w:val="nil"/>
              <w:bottom w:val="nil"/>
              <w:right w:val="nil"/>
            </w:tcBorders>
            <w:shd w:val="clear" w:color="000000" w:fill="BEEDF8"/>
            <w:noWrap/>
            <w:vAlign w:val="center"/>
          </w:tcPr>
          <w:p>
            <w:pPr>
              <w:widowControl/>
              <w:spacing w:line="320" w:lineRule="exact"/>
              <w:jc w:val="center"/>
              <w:rPr>
                <w:rFonts w:ascii="Calibri" w:hAnsi="Calibri" w:cs="宋体"/>
                <w:color w:val="000000"/>
                <w:kern w:val="0"/>
                <w:sz w:val="20"/>
                <w:szCs w:val="20"/>
              </w:rPr>
            </w:pPr>
            <w:r>
              <w:rPr>
                <w:rFonts w:ascii="Calibri" w:hAnsi="Calibri" w:cs="宋体"/>
                <w:color w:val="000000"/>
                <w:kern w:val="0"/>
                <w:sz w:val="20"/>
                <w:szCs w:val="20"/>
              </w:rPr>
              <w:t>2.9</w:t>
            </w:r>
          </w:p>
        </w:tc>
      </w:tr>
      <w:tr>
        <w:tblPrEx>
          <w:tblCellMar>
            <w:top w:w="0" w:type="dxa"/>
            <w:left w:w="108" w:type="dxa"/>
            <w:bottom w:w="0" w:type="dxa"/>
            <w:right w:w="108" w:type="dxa"/>
          </w:tblCellMar>
        </w:tblPrEx>
        <w:trPr>
          <w:trHeight w:val="270" w:hRule="atLeast"/>
          <w:jc w:val="center"/>
        </w:trPr>
        <w:tc>
          <w:tcPr>
            <w:tcW w:w="1734" w:type="dxa"/>
            <w:tcBorders>
              <w:top w:val="nil"/>
              <w:left w:val="nil"/>
              <w:bottom w:val="nil"/>
              <w:right w:val="nil"/>
            </w:tcBorders>
            <w:shd w:val="clear" w:color="000000" w:fill="FFFFFF"/>
            <w:noWrap/>
            <w:vAlign w:val="center"/>
          </w:tcPr>
          <w:p>
            <w:pPr>
              <w:widowControl/>
              <w:spacing w:line="320" w:lineRule="exact"/>
              <w:jc w:val="left"/>
              <w:rPr>
                <w:rFonts w:ascii="Calibri" w:hAnsi="Calibri" w:cs="宋体"/>
                <w:color w:val="000000"/>
                <w:kern w:val="0"/>
                <w:sz w:val="20"/>
                <w:szCs w:val="20"/>
              </w:rPr>
            </w:pPr>
            <w:r>
              <w:rPr>
                <w:rFonts w:ascii="Calibri" w:hAnsi="Calibri" w:cs="宋体"/>
                <w:color w:val="000000"/>
                <w:kern w:val="0"/>
                <w:sz w:val="20"/>
                <w:szCs w:val="20"/>
              </w:rPr>
              <w:t>会计</w:t>
            </w:r>
          </w:p>
        </w:tc>
        <w:tc>
          <w:tcPr>
            <w:tcW w:w="715" w:type="dxa"/>
            <w:tcBorders>
              <w:top w:val="nil"/>
              <w:left w:val="nil"/>
              <w:bottom w:val="nil"/>
              <w:right w:val="nil"/>
            </w:tcBorders>
            <w:shd w:val="clear" w:color="000000" w:fill="FFFFFF"/>
            <w:noWrap/>
            <w:vAlign w:val="center"/>
          </w:tcPr>
          <w:p>
            <w:pPr>
              <w:widowControl/>
              <w:spacing w:line="320" w:lineRule="exact"/>
              <w:jc w:val="center"/>
              <w:rPr>
                <w:rFonts w:ascii="Calibri" w:hAnsi="Calibri" w:cs="宋体"/>
                <w:color w:val="000000"/>
                <w:kern w:val="0"/>
                <w:sz w:val="20"/>
                <w:szCs w:val="20"/>
              </w:rPr>
            </w:pPr>
            <w:r>
              <w:rPr>
                <w:rFonts w:ascii="Calibri" w:hAnsi="Calibri" w:cs="宋体"/>
                <w:color w:val="000000"/>
                <w:kern w:val="0"/>
                <w:sz w:val="20"/>
                <w:szCs w:val="20"/>
              </w:rPr>
              <w:t>42.2</w:t>
            </w:r>
          </w:p>
        </w:tc>
        <w:tc>
          <w:tcPr>
            <w:tcW w:w="716" w:type="dxa"/>
            <w:tcBorders>
              <w:top w:val="nil"/>
              <w:left w:val="nil"/>
              <w:bottom w:val="nil"/>
              <w:right w:val="nil"/>
            </w:tcBorders>
            <w:shd w:val="clear" w:color="000000" w:fill="FFFFFF"/>
            <w:noWrap/>
            <w:vAlign w:val="center"/>
          </w:tcPr>
          <w:p>
            <w:pPr>
              <w:widowControl/>
              <w:spacing w:line="320" w:lineRule="exact"/>
              <w:jc w:val="center"/>
              <w:rPr>
                <w:rFonts w:ascii="Calibri" w:hAnsi="Calibri" w:cs="宋体"/>
                <w:color w:val="000000"/>
                <w:kern w:val="0"/>
                <w:sz w:val="20"/>
                <w:szCs w:val="20"/>
              </w:rPr>
            </w:pPr>
            <w:r>
              <w:rPr>
                <w:rFonts w:ascii="Calibri" w:hAnsi="Calibri" w:cs="宋体"/>
                <w:color w:val="000000"/>
                <w:kern w:val="0"/>
                <w:sz w:val="20"/>
                <w:szCs w:val="20"/>
              </w:rPr>
              <w:t>13.3</w:t>
            </w:r>
          </w:p>
        </w:tc>
        <w:tc>
          <w:tcPr>
            <w:tcW w:w="715" w:type="dxa"/>
            <w:tcBorders>
              <w:top w:val="nil"/>
              <w:left w:val="nil"/>
              <w:bottom w:val="nil"/>
              <w:right w:val="nil"/>
            </w:tcBorders>
            <w:shd w:val="clear" w:color="000000" w:fill="FFFFFF"/>
            <w:noWrap/>
            <w:vAlign w:val="center"/>
          </w:tcPr>
          <w:p>
            <w:pPr>
              <w:widowControl/>
              <w:spacing w:line="320" w:lineRule="exact"/>
              <w:jc w:val="center"/>
              <w:rPr>
                <w:rFonts w:ascii="Calibri" w:hAnsi="Calibri" w:cs="宋体"/>
                <w:color w:val="000000"/>
                <w:kern w:val="0"/>
                <w:sz w:val="20"/>
                <w:szCs w:val="20"/>
              </w:rPr>
            </w:pPr>
            <w:r>
              <w:rPr>
                <w:rFonts w:ascii="Calibri" w:hAnsi="Calibri" w:cs="宋体"/>
                <w:color w:val="000000"/>
                <w:kern w:val="0"/>
                <w:sz w:val="20"/>
                <w:szCs w:val="20"/>
              </w:rPr>
              <w:t>2.2</w:t>
            </w:r>
          </w:p>
        </w:tc>
        <w:tc>
          <w:tcPr>
            <w:tcW w:w="716" w:type="dxa"/>
            <w:tcBorders>
              <w:top w:val="nil"/>
              <w:left w:val="nil"/>
              <w:bottom w:val="nil"/>
              <w:right w:val="nil"/>
            </w:tcBorders>
            <w:shd w:val="clear" w:color="000000" w:fill="FFFFFF"/>
            <w:noWrap/>
            <w:vAlign w:val="center"/>
          </w:tcPr>
          <w:p>
            <w:pPr>
              <w:widowControl/>
              <w:spacing w:line="320" w:lineRule="exact"/>
              <w:jc w:val="center"/>
              <w:rPr>
                <w:rFonts w:ascii="Calibri" w:hAnsi="Calibri" w:cs="宋体"/>
                <w:color w:val="000000"/>
                <w:kern w:val="0"/>
                <w:sz w:val="20"/>
                <w:szCs w:val="20"/>
              </w:rPr>
            </w:pPr>
            <w:r>
              <w:rPr>
                <w:rFonts w:ascii="Calibri" w:hAnsi="Calibri" w:cs="宋体"/>
                <w:color w:val="000000"/>
                <w:kern w:val="0"/>
                <w:sz w:val="20"/>
                <w:szCs w:val="20"/>
              </w:rPr>
              <w:t>13.3</w:t>
            </w:r>
          </w:p>
        </w:tc>
        <w:tc>
          <w:tcPr>
            <w:tcW w:w="716" w:type="dxa"/>
            <w:tcBorders>
              <w:top w:val="nil"/>
              <w:left w:val="nil"/>
              <w:bottom w:val="nil"/>
              <w:right w:val="nil"/>
            </w:tcBorders>
            <w:shd w:val="clear" w:color="000000" w:fill="FFFFFF"/>
            <w:noWrap/>
            <w:vAlign w:val="center"/>
          </w:tcPr>
          <w:p>
            <w:pPr>
              <w:widowControl/>
              <w:spacing w:line="320" w:lineRule="exact"/>
              <w:jc w:val="center"/>
              <w:rPr>
                <w:rFonts w:ascii="Calibri" w:hAnsi="Calibri" w:cs="宋体"/>
                <w:color w:val="000000"/>
                <w:kern w:val="0"/>
                <w:sz w:val="20"/>
                <w:szCs w:val="20"/>
              </w:rPr>
            </w:pPr>
            <w:r>
              <w:rPr>
                <w:rFonts w:ascii="Calibri" w:hAnsi="Calibri" w:cs="宋体"/>
                <w:color w:val="000000"/>
                <w:kern w:val="0"/>
                <w:sz w:val="20"/>
                <w:szCs w:val="20"/>
              </w:rPr>
              <w:t>0.0</w:t>
            </w:r>
          </w:p>
        </w:tc>
        <w:tc>
          <w:tcPr>
            <w:tcW w:w="715" w:type="dxa"/>
            <w:tcBorders>
              <w:top w:val="nil"/>
              <w:left w:val="nil"/>
              <w:bottom w:val="nil"/>
              <w:right w:val="nil"/>
            </w:tcBorders>
            <w:shd w:val="clear" w:color="000000" w:fill="FFFFFF"/>
            <w:noWrap/>
            <w:vAlign w:val="center"/>
          </w:tcPr>
          <w:p>
            <w:pPr>
              <w:widowControl/>
              <w:spacing w:line="320" w:lineRule="exact"/>
              <w:jc w:val="center"/>
              <w:rPr>
                <w:rFonts w:ascii="Calibri" w:hAnsi="Calibri" w:cs="宋体"/>
                <w:color w:val="000000"/>
                <w:kern w:val="0"/>
                <w:sz w:val="20"/>
                <w:szCs w:val="20"/>
              </w:rPr>
            </w:pPr>
            <w:r>
              <w:rPr>
                <w:rFonts w:ascii="Calibri" w:hAnsi="Calibri" w:cs="宋体"/>
                <w:color w:val="000000"/>
                <w:kern w:val="0"/>
                <w:sz w:val="20"/>
                <w:szCs w:val="20"/>
              </w:rPr>
              <w:t>0.0</w:t>
            </w:r>
          </w:p>
        </w:tc>
        <w:tc>
          <w:tcPr>
            <w:tcW w:w="716" w:type="dxa"/>
            <w:tcBorders>
              <w:top w:val="nil"/>
              <w:left w:val="nil"/>
              <w:bottom w:val="nil"/>
              <w:right w:val="nil"/>
            </w:tcBorders>
            <w:shd w:val="clear" w:color="000000" w:fill="FFFFFF"/>
            <w:noWrap/>
            <w:vAlign w:val="center"/>
          </w:tcPr>
          <w:p>
            <w:pPr>
              <w:widowControl/>
              <w:spacing w:line="320" w:lineRule="exact"/>
              <w:jc w:val="center"/>
              <w:rPr>
                <w:rFonts w:ascii="Calibri" w:hAnsi="Calibri" w:cs="宋体"/>
                <w:color w:val="000000"/>
                <w:kern w:val="0"/>
                <w:sz w:val="20"/>
                <w:szCs w:val="20"/>
              </w:rPr>
            </w:pPr>
            <w:r>
              <w:rPr>
                <w:rFonts w:ascii="Calibri" w:hAnsi="Calibri" w:cs="宋体"/>
                <w:color w:val="000000"/>
                <w:kern w:val="0"/>
                <w:sz w:val="20"/>
                <w:szCs w:val="20"/>
              </w:rPr>
              <w:t>0.0</w:t>
            </w:r>
          </w:p>
        </w:tc>
        <w:tc>
          <w:tcPr>
            <w:tcW w:w="715" w:type="dxa"/>
            <w:tcBorders>
              <w:top w:val="nil"/>
              <w:left w:val="nil"/>
              <w:bottom w:val="nil"/>
              <w:right w:val="nil"/>
            </w:tcBorders>
            <w:shd w:val="clear" w:color="000000" w:fill="FFFFFF"/>
            <w:noWrap/>
            <w:vAlign w:val="center"/>
          </w:tcPr>
          <w:p>
            <w:pPr>
              <w:widowControl/>
              <w:spacing w:line="320" w:lineRule="exact"/>
              <w:jc w:val="center"/>
              <w:rPr>
                <w:rFonts w:ascii="Calibri" w:hAnsi="Calibri" w:cs="宋体"/>
                <w:color w:val="000000"/>
                <w:kern w:val="0"/>
                <w:sz w:val="20"/>
                <w:szCs w:val="20"/>
              </w:rPr>
            </w:pPr>
            <w:r>
              <w:rPr>
                <w:rFonts w:ascii="Calibri" w:hAnsi="Calibri" w:cs="宋体"/>
                <w:color w:val="000000"/>
                <w:kern w:val="0"/>
                <w:sz w:val="20"/>
                <w:szCs w:val="20"/>
              </w:rPr>
              <w:t>0.0</w:t>
            </w:r>
          </w:p>
        </w:tc>
        <w:tc>
          <w:tcPr>
            <w:tcW w:w="716" w:type="dxa"/>
            <w:tcBorders>
              <w:top w:val="nil"/>
              <w:left w:val="nil"/>
              <w:bottom w:val="nil"/>
              <w:right w:val="nil"/>
            </w:tcBorders>
            <w:shd w:val="clear" w:color="000000" w:fill="FFFFFF"/>
            <w:noWrap/>
            <w:vAlign w:val="center"/>
          </w:tcPr>
          <w:p>
            <w:pPr>
              <w:widowControl/>
              <w:spacing w:line="320" w:lineRule="exact"/>
              <w:jc w:val="center"/>
              <w:rPr>
                <w:rFonts w:ascii="Calibri" w:hAnsi="Calibri" w:cs="宋体"/>
                <w:color w:val="000000"/>
                <w:kern w:val="0"/>
                <w:sz w:val="20"/>
                <w:szCs w:val="20"/>
              </w:rPr>
            </w:pPr>
            <w:r>
              <w:rPr>
                <w:rFonts w:ascii="Calibri" w:hAnsi="Calibri" w:cs="宋体"/>
                <w:color w:val="000000"/>
                <w:kern w:val="0"/>
                <w:sz w:val="20"/>
                <w:szCs w:val="20"/>
              </w:rPr>
              <w:t>0.0</w:t>
            </w:r>
          </w:p>
        </w:tc>
        <w:tc>
          <w:tcPr>
            <w:tcW w:w="716" w:type="dxa"/>
            <w:tcBorders>
              <w:top w:val="nil"/>
              <w:left w:val="nil"/>
              <w:bottom w:val="nil"/>
              <w:right w:val="nil"/>
            </w:tcBorders>
            <w:shd w:val="clear" w:color="000000" w:fill="FFFFFF"/>
            <w:noWrap/>
            <w:vAlign w:val="center"/>
          </w:tcPr>
          <w:p>
            <w:pPr>
              <w:widowControl/>
              <w:spacing w:line="320" w:lineRule="exact"/>
              <w:jc w:val="center"/>
              <w:rPr>
                <w:rFonts w:ascii="Calibri" w:hAnsi="Calibri" w:cs="宋体"/>
                <w:color w:val="000000"/>
                <w:kern w:val="0"/>
                <w:sz w:val="20"/>
                <w:szCs w:val="20"/>
              </w:rPr>
            </w:pPr>
            <w:r>
              <w:rPr>
                <w:rFonts w:ascii="Calibri" w:hAnsi="Calibri" w:cs="宋体"/>
                <w:color w:val="000000"/>
                <w:kern w:val="0"/>
                <w:sz w:val="20"/>
                <w:szCs w:val="20"/>
              </w:rPr>
              <w:t>28.9</w:t>
            </w:r>
          </w:p>
        </w:tc>
      </w:tr>
      <w:tr>
        <w:tblPrEx>
          <w:tblCellMar>
            <w:top w:w="0" w:type="dxa"/>
            <w:left w:w="108" w:type="dxa"/>
            <w:bottom w:w="0" w:type="dxa"/>
            <w:right w:w="108" w:type="dxa"/>
          </w:tblCellMar>
        </w:tblPrEx>
        <w:trPr>
          <w:trHeight w:val="270" w:hRule="atLeast"/>
          <w:jc w:val="center"/>
        </w:trPr>
        <w:tc>
          <w:tcPr>
            <w:tcW w:w="1734" w:type="dxa"/>
            <w:tcBorders>
              <w:top w:val="nil"/>
              <w:left w:val="nil"/>
              <w:bottom w:val="nil"/>
              <w:right w:val="nil"/>
            </w:tcBorders>
            <w:shd w:val="clear" w:color="000000" w:fill="BEEDF8"/>
            <w:noWrap/>
            <w:vAlign w:val="center"/>
          </w:tcPr>
          <w:p>
            <w:pPr>
              <w:widowControl/>
              <w:spacing w:line="320" w:lineRule="exact"/>
              <w:jc w:val="left"/>
              <w:rPr>
                <w:rFonts w:ascii="Calibri" w:hAnsi="Calibri" w:cs="宋体"/>
                <w:color w:val="000000"/>
                <w:kern w:val="0"/>
                <w:sz w:val="20"/>
                <w:szCs w:val="20"/>
              </w:rPr>
            </w:pPr>
            <w:r>
              <w:rPr>
                <w:rFonts w:ascii="Calibri" w:hAnsi="Calibri" w:cs="宋体"/>
                <w:color w:val="000000"/>
                <w:kern w:val="0"/>
                <w:sz w:val="20"/>
                <w:szCs w:val="20"/>
              </w:rPr>
              <w:t>商务英语</w:t>
            </w:r>
          </w:p>
        </w:tc>
        <w:tc>
          <w:tcPr>
            <w:tcW w:w="715" w:type="dxa"/>
            <w:tcBorders>
              <w:top w:val="nil"/>
              <w:left w:val="nil"/>
              <w:bottom w:val="nil"/>
              <w:right w:val="nil"/>
            </w:tcBorders>
            <w:shd w:val="clear" w:color="000000" w:fill="BEEDF8"/>
            <w:noWrap/>
            <w:vAlign w:val="center"/>
          </w:tcPr>
          <w:p>
            <w:pPr>
              <w:widowControl/>
              <w:spacing w:line="320" w:lineRule="exact"/>
              <w:jc w:val="center"/>
              <w:rPr>
                <w:rFonts w:ascii="Calibri" w:hAnsi="Calibri" w:cs="宋体"/>
                <w:color w:val="000000"/>
                <w:kern w:val="0"/>
                <w:sz w:val="20"/>
                <w:szCs w:val="20"/>
              </w:rPr>
            </w:pPr>
            <w:r>
              <w:rPr>
                <w:rFonts w:ascii="Calibri" w:hAnsi="Calibri" w:cs="宋体"/>
                <w:color w:val="000000"/>
                <w:kern w:val="0"/>
                <w:sz w:val="20"/>
                <w:szCs w:val="20"/>
              </w:rPr>
              <w:t>36.6</w:t>
            </w:r>
          </w:p>
        </w:tc>
        <w:tc>
          <w:tcPr>
            <w:tcW w:w="716" w:type="dxa"/>
            <w:tcBorders>
              <w:top w:val="nil"/>
              <w:left w:val="nil"/>
              <w:bottom w:val="nil"/>
              <w:right w:val="nil"/>
            </w:tcBorders>
            <w:shd w:val="clear" w:color="000000" w:fill="BEEDF8"/>
            <w:noWrap/>
            <w:vAlign w:val="center"/>
          </w:tcPr>
          <w:p>
            <w:pPr>
              <w:widowControl/>
              <w:spacing w:line="320" w:lineRule="exact"/>
              <w:jc w:val="center"/>
              <w:rPr>
                <w:rFonts w:ascii="Calibri" w:hAnsi="Calibri" w:cs="宋体"/>
                <w:color w:val="000000"/>
                <w:kern w:val="0"/>
                <w:sz w:val="20"/>
                <w:szCs w:val="20"/>
              </w:rPr>
            </w:pPr>
            <w:r>
              <w:rPr>
                <w:rFonts w:ascii="Calibri" w:hAnsi="Calibri" w:cs="宋体"/>
                <w:color w:val="000000"/>
                <w:kern w:val="0"/>
                <w:sz w:val="20"/>
                <w:szCs w:val="20"/>
              </w:rPr>
              <w:t>0.0</w:t>
            </w:r>
          </w:p>
        </w:tc>
        <w:tc>
          <w:tcPr>
            <w:tcW w:w="715" w:type="dxa"/>
            <w:tcBorders>
              <w:top w:val="nil"/>
              <w:left w:val="nil"/>
              <w:bottom w:val="nil"/>
              <w:right w:val="nil"/>
            </w:tcBorders>
            <w:shd w:val="clear" w:color="000000" w:fill="BEEDF8"/>
            <w:noWrap/>
            <w:vAlign w:val="center"/>
          </w:tcPr>
          <w:p>
            <w:pPr>
              <w:widowControl/>
              <w:spacing w:line="320" w:lineRule="exact"/>
              <w:jc w:val="center"/>
              <w:rPr>
                <w:rFonts w:ascii="Calibri" w:hAnsi="Calibri" w:cs="宋体"/>
                <w:color w:val="000000"/>
                <w:kern w:val="0"/>
                <w:sz w:val="20"/>
                <w:szCs w:val="20"/>
              </w:rPr>
            </w:pPr>
            <w:r>
              <w:rPr>
                <w:rFonts w:ascii="Calibri" w:hAnsi="Calibri" w:cs="宋体"/>
                <w:color w:val="000000"/>
                <w:kern w:val="0"/>
                <w:sz w:val="20"/>
                <w:szCs w:val="20"/>
              </w:rPr>
              <w:t>7.9</w:t>
            </w:r>
          </w:p>
        </w:tc>
        <w:tc>
          <w:tcPr>
            <w:tcW w:w="716" w:type="dxa"/>
            <w:tcBorders>
              <w:top w:val="nil"/>
              <w:left w:val="nil"/>
              <w:bottom w:val="nil"/>
              <w:right w:val="nil"/>
            </w:tcBorders>
            <w:shd w:val="clear" w:color="000000" w:fill="BEEDF8"/>
            <w:noWrap/>
            <w:vAlign w:val="center"/>
          </w:tcPr>
          <w:p>
            <w:pPr>
              <w:widowControl/>
              <w:spacing w:line="320" w:lineRule="exact"/>
              <w:jc w:val="center"/>
              <w:rPr>
                <w:rFonts w:ascii="Calibri" w:hAnsi="Calibri" w:cs="宋体"/>
                <w:color w:val="000000"/>
                <w:kern w:val="0"/>
                <w:sz w:val="20"/>
                <w:szCs w:val="20"/>
              </w:rPr>
            </w:pPr>
            <w:r>
              <w:rPr>
                <w:rFonts w:ascii="Calibri" w:hAnsi="Calibri" w:cs="宋体"/>
                <w:color w:val="000000"/>
                <w:kern w:val="0"/>
                <w:sz w:val="20"/>
                <w:szCs w:val="20"/>
              </w:rPr>
              <w:t>51.5</w:t>
            </w:r>
          </w:p>
        </w:tc>
        <w:tc>
          <w:tcPr>
            <w:tcW w:w="716" w:type="dxa"/>
            <w:tcBorders>
              <w:top w:val="nil"/>
              <w:left w:val="nil"/>
              <w:bottom w:val="nil"/>
              <w:right w:val="nil"/>
            </w:tcBorders>
            <w:shd w:val="clear" w:color="000000" w:fill="BEEDF8"/>
            <w:noWrap/>
            <w:vAlign w:val="center"/>
          </w:tcPr>
          <w:p>
            <w:pPr>
              <w:widowControl/>
              <w:spacing w:line="320" w:lineRule="exact"/>
              <w:jc w:val="center"/>
              <w:rPr>
                <w:rFonts w:ascii="Calibri" w:hAnsi="Calibri" w:cs="宋体"/>
                <w:color w:val="000000"/>
                <w:kern w:val="0"/>
                <w:sz w:val="20"/>
                <w:szCs w:val="20"/>
              </w:rPr>
            </w:pPr>
            <w:r>
              <w:rPr>
                <w:rFonts w:ascii="Calibri" w:hAnsi="Calibri" w:cs="宋体"/>
                <w:color w:val="000000"/>
                <w:kern w:val="0"/>
                <w:sz w:val="20"/>
                <w:szCs w:val="20"/>
              </w:rPr>
              <w:t>0.0</w:t>
            </w:r>
          </w:p>
        </w:tc>
        <w:tc>
          <w:tcPr>
            <w:tcW w:w="715" w:type="dxa"/>
            <w:tcBorders>
              <w:top w:val="nil"/>
              <w:left w:val="nil"/>
              <w:bottom w:val="nil"/>
              <w:right w:val="nil"/>
            </w:tcBorders>
            <w:shd w:val="clear" w:color="000000" w:fill="BEEDF8"/>
            <w:noWrap/>
            <w:vAlign w:val="center"/>
          </w:tcPr>
          <w:p>
            <w:pPr>
              <w:widowControl/>
              <w:spacing w:line="320" w:lineRule="exact"/>
              <w:jc w:val="center"/>
              <w:rPr>
                <w:rFonts w:ascii="Calibri" w:hAnsi="Calibri" w:cs="宋体"/>
                <w:color w:val="000000"/>
                <w:kern w:val="0"/>
                <w:sz w:val="20"/>
                <w:szCs w:val="20"/>
              </w:rPr>
            </w:pPr>
            <w:r>
              <w:rPr>
                <w:rFonts w:ascii="Calibri" w:hAnsi="Calibri" w:cs="宋体"/>
                <w:color w:val="000000"/>
                <w:kern w:val="0"/>
                <w:sz w:val="20"/>
                <w:szCs w:val="20"/>
              </w:rPr>
              <w:t>0.0</w:t>
            </w:r>
          </w:p>
        </w:tc>
        <w:tc>
          <w:tcPr>
            <w:tcW w:w="716" w:type="dxa"/>
            <w:tcBorders>
              <w:top w:val="nil"/>
              <w:left w:val="nil"/>
              <w:bottom w:val="nil"/>
              <w:right w:val="nil"/>
            </w:tcBorders>
            <w:shd w:val="clear" w:color="000000" w:fill="BEEDF8"/>
            <w:noWrap/>
            <w:vAlign w:val="center"/>
          </w:tcPr>
          <w:p>
            <w:pPr>
              <w:widowControl/>
              <w:spacing w:line="320" w:lineRule="exact"/>
              <w:jc w:val="center"/>
              <w:rPr>
                <w:rFonts w:ascii="Calibri" w:hAnsi="Calibri" w:cs="宋体"/>
                <w:color w:val="000000"/>
                <w:kern w:val="0"/>
                <w:sz w:val="20"/>
                <w:szCs w:val="20"/>
              </w:rPr>
            </w:pPr>
            <w:r>
              <w:rPr>
                <w:rFonts w:ascii="Calibri" w:hAnsi="Calibri" w:cs="宋体"/>
                <w:color w:val="000000"/>
                <w:kern w:val="0"/>
                <w:sz w:val="20"/>
                <w:szCs w:val="20"/>
              </w:rPr>
              <w:t>0.0</w:t>
            </w:r>
          </w:p>
        </w:tc>
        <w:tc>
          <w:tcPr>
            <w:tcW w:w="715" w:type="dxa"/>
            <w:tcBorders>
              <w:top w:val="nil"/>
              <w:left w:val="nil"/>
              <w:bottom w:val="nil"/>
              <w:right w:val="nil"/>
            </w:tcBorders>
            <w:shd w:val="clear" w:color="000000" w:fill="BEEDF8"/>
            <w:noWrap/>
            <w:vAlign w:val="center"/>
          </w:tcPr>
          <w:p>
            <w:pPr>
              <w:widowControl/>
              <w:spacing w:line="320" w:lineRule="exact"/>
              <w:jc w:val="center"/>
              <w:rPr>
                <w:rFonts w:ascii="Calibri" w:hAnsi="Calibri" w:cs="宋体"/>
                <w:color w:val="000000"/>
                <w:kern w:val="0"/>
                <w:sz w:val="20"/>
                <w:szCs w:val="20"/>
              </w:rPr>
            </w:pPr>
            <w:r>
              <w:rPr>
                <w:rFonts w:ascii="Calibri" w:hAnsi="Calibri" w:cs="宋体"/>
                <w:color w:val="000000"/>
                <w:kern w:val="0"/>
                <w:sz w:val="20"/>
                <w:szCs w:val="20"/>
              </w:rPr>
              <w:t>0.0</w:t>
            </w:r>
          </w:p>
        </w:tc>
        <w:tc>
          <w:tcPr>
            <w:tcW w:w="716" w:type="dxa"/>
            <w:tcBorders>
              <w:top w:val="nil"/>
              <w:left w:val="nil"/>
              <w:bottom w:val="nil"/>
              <w:right w:val="nil"/>
            </w:tcBorders>
            <w:shd w:val="clear" w:color="000000" w:fill="BEEDF8"/>
            <w:noWrap/>
            <w:vAlign w:val="center"/>
          </w:tcPr>
          <w:p>
            <w:pPr>
              <w:widowControl/>
              <w:spacing w:line="320" w:lineRule="exact"/>
              <w:jc w:val="center"/>
              <w:rPr>
                <w:rFonts w:ascii="Calibri" w:hAnsi="Calibri" w:cs="宋体"/>
                <w:color w:val="000000"/>
                <w:kern w:val="0"/>
                <w:sz w:val="20"/>
                <w:szCs w:val="20"/>
              </w:rPr>
            </w:pPr>
            <w:r>
              <w:rPr>
                <w:rFonts w:ascii="Calibri" w:hAnsi="Calibri" w:cs="宋体"/>
                <w:color w:val="000000"/>
                <w:kern w:val="0"/>
                <w:sz w:val="20"/>
                <w:szCs w:val="20"/>
              </w:rPr>
              <w:t>0.0</w:t>
            </w:r>
          </w:p>
        </w:tc>
        <w:tc>
          <w:tcPr>
            <w:tcW w:w="716" w:type="dxa"/>
            <w:tcBorders>
              <w:top w:val="nil"/>
              <w:left w:val="nil"/>
              <w:bottom w:val="nil"/>
              <w:right w:val="nil"/>
            </w:tcBorders>
            <w:shd w:val="clear" w:color="000000" w:fill="BEEDF8"/>
            <w:noWrap/>
            <w:vAlign w:val="center"/>
          </w:tcPr>
          <w:p>
            <w:pPr>
              <w:widowControl/>
              <w:spacing w:line="320" w:lineRule="exact"/>
              <w:jc w:val="center"/>
              <w:rPr>
                <w:rFonts w:ascii="Calibri" w:hAnsi="Calibri" w:cs="宋体"/>
                <w:color w:val="000000"/>
                <w:kern w:val="0"/>
                <w:sz w:val="20"/>
                <w:szCs w:val="20"/>
              </w:rPr>
            </w:pPr>
            <w:r>
              <w:rPr>
                <w:rFonts w:ascii="Calibri" w:hAnsi="Calibri" w:cs="宋体"/>
                <w:color w:val="000000"/>
                <w:kern w:val="0"/>
                <w:sz w:val="20"/>
                <w:szCs w:val="20"/>
              </w:rPr>
              <w:t>4.0</w:t>
            </w:r>
          </w:p>
        </w:tc>
      </w:tr>
      <w:tr>
        <w:tblPrEx>
          <w:tblCellMar>
            <w:top w:w="0" w:type="dxa"/>
            <w:left w:w="108" w:type="dxa"/>
            <w:bottom w:w="0" w:type="dxa"/>
            <w:right w:w="108" w:type="dxa"/>
          </w:tblCellMar>
        </w:tblPrEx>
        <w:trPr>
          <w:trHeight w:val="270" w:hRule="atLeast"/>
          <w:jc w:val="center"/>
        </w:trPr>
        <w:tc>
          <w:tcPr>
            <w:tcW w:w="1734" w:type="dxa"/>
            <w:tcBorders>
              <w:top w:val="nil"/>
              <w:left w:val="nil"/>
              <w:bottom w:val="nil"/>
              <w:right w:val="nil"/>
            </w:tcBorders>
            <w:shd w:val="clear" w:color="000000" w:fill="FFFFFF"/>
            <w:noWrap/>
            <w:vAlign w:val="center"/>
          </w:tcPr>
          <w:p>
            <w:pPr>
              <w:widowControl/>
              <w:spacing w:line="320" w:lineRule="exact"/>
              <w:jc w:val="left"/>
              <w:rPr>
                <w:rFonts w:ascii="Calibri" w:hAnsi="Calibri" w:cs="宋体"/>
                <w:color w:val="000000"/>
                <w:kern w:val="0"/>
                <w:sz w:val="20"/>
                <w:szCs w:val="20"/>
              </w:rPr>
            </w:pPr>
            <w:r>
              <w:rPr>
                <w:rFonts w:ascii="Calibri" w:hAnsi="Calibri" w:cs="宋体"/>
                <w:color w:val="000000"/>
                <w:kern w:val="0"/>
                <w:sz w:val="20"/>
                <w:szCs w:val="20"/>
              </w:rPr>
              <w:t>应用德语</w:t>
            </w:r>
          </w:p>
        </w:tc>
        <w:tc>
          <w:tcPr>
            <w:tcW w:w="715" w:type="dxa"/>
            <w:tcBorders>
              <w:top w:val="nil"/>
              <w:left w:val="nil"/>
              <w:bottom w:val="nil"/>
              <w:right w:val="nil"/>
            </w:tcBorders>
            <w:shd w:val="clear" w:color="000000" w:fill="FFFFFF"/>
            <w:noWrap/>
            <w:vAlign w:val="center"/>
          </w:tcPr>
          <w:p>
            <w:pPr>
              <w:widowControl/>
              <w:spacing w:line="320" w:lineRule="exact"/>
              <w:jc w:val="center"/>
              <w:rPr>
                <w:rFonts w:ascii="Calibri" w:hAnsi="Calibri" w:cs="宋体"/>
                <w:color w:val="000000"/>
                <w:kern w:val="0"/>
                <w:sz w:val="20"/>
                <w:szCs w:val="20"/>
              </w:rPr>
            </w:pPr>
            <w:r>
              <w:rPr>
                <w:rFonts w:ascii="Calibri" w:hAnsi="Calibri" w:cs="宋体"/>
                <w:color w:val="000000"/>
                <w:kern w:val="0"/>
                <w:sz w:val="20"/>
                <w:szCs w:val="20"/>
              </w:rPr>
              <w:t>35.7</w:t>
            </w:r>
          </w:p>
        </w:tc>
        <w:tc>
          <w:tcPr>
            <w:tcW w:w="716" w:type="dxa"/>
            <w:tcBorders>
              <w:top w:val="nil"/>
              <w:left w:val="nil"/>
              <w:bottom w:val="nil"/>
              <w:right w:val="nil"/>
            </w:tcBorders>
            <w:shd w:val="clear" w:color="000000" w:fill="FFFFFF"/>
            <w:noWrap/>
            <w:vAlign w:val="center"/>
          </w:tcPr>
          <w:p>
            <w:pPr>
              <w:widowControl/>
              <w:spacing w:line="320" w:lineRule="exact"/>
              <w:jc w:val="center"/>
              <w:rPr>
                <w:rFonts w:ascii="Calibri" w:hAnsi="Calibri" w:cs="宋体"/>
                <w:color w:val="000000"/>
                <w:kern w:val="0"/>
                <w:sz w:val="20"/>
                <w:szCs w:val="20"/>
              </w:rPr>
            </w:pPr>
            <w:r>
              <w:rPr>
                <w:rFonts w:ascii="Calibri" w:hAnsi="Calibri" w:cs="宋体"/>
                <w:color w:val="000000"/>
                <w:kern w:val="0"/>
                <w:sz w:val="20"/>
                <w:szCs w:val="20"/>
              </w:rPr>
              <w:t>14.3</w:t>
            </w:r>
          </w:p>
        </w:tc>
        <w:tc>
          <w:tcPr>
            <w:tcW w:w="715" w:type="dxa"/>
            <w:tcBorders>
              <w:top w:val="nil"/>
              <w:left w:val="nil"/>
              <w:bottom w:val="nil"/>
              <w:right w:val="nil"/>
            </w:tcBorders>
            <w:shd w:val="clear" w:color="000000" w:fill="FFFFFF"/>
            <w:noWrap/>
            <w:vAlign w:val="center"/>
          </w:tcPr>
          <w:p>
            <w:pPr>
              <w:widowControl/>
              <w:spacing w:line="320" w:lineRule="exact"/>
              <w:jc w:val="center"/>
              <w:rPr>
                <w:rFonts w:ascii="Calibri" w:hAnsi="Calibri" w:cs="宋体"/>
                <w:color w:val="000000"/>
                <w:kern w:val="0"/>
                <w:sz w:val="20"/>
                <w:szCs w:val="20"/>
              </w:rPr>
            </w:pPr>
            <w:r>
              <w:rPr>
                <w:rFonts w:ascii="Calibri" w:hAnsi="Calibri" w:cs="宋体"/>
                <w:color w:val="000000"/>
                <w:kern w:val="0"/>
                <w:sz w:val="20"/>
                <w:szCs w:val="20"/>
              </w:rPr>
              <w:t>10.7</w:t>
            </w:r>
          </w:p>
        </w:tc>
        <w:tc>
          <w:tcPr>
            <w:tcW w:w="716" w:type="dxa"/>
            <w:tcBorders>
              <w:top w:val="nil"/>
              <w:left w:val="nil"/>
              <w:bottom w:val="nil"/>
              <w:right w:val="nil"/>
            </w:tcBorders>
            <w:shd w:val="clear" w:color="000000" w:fill="FFFFFF"/>
            <w:noWrap/>
            <w:vAlign w:val="center"/>
          </w:tcPr>
          <w:p>
            <w:pPr>
              <w:widowControl/>
              <w:spacing w:line="320" w:lineRule="exact"/>
              <w:jc w:val="center"/>
              <w:rPr>
                <w:rFonts w:ascii="Calibri" w:hAnsi="Calibri" w:cs="宋体"/>
                <w:color w:val="000000"/>
                <w:kern w:val="0"/>
                <w:sz w:val="20"/>
                <w:szCs w:val="20"/>
              </w:rPr>
            </w:pPr>
            <w:r>
              <w:rPr>
                <w:rFonts w:ascii="Calibri" w:hAnsi="Calibri" w:cs="宋体"/>
                <w:color w:val="000000"/>
                <w:kern w:val="0"/>
                <w:sz w:val="20"/>
                <w:szCs w:val="20"/>
              </w:rPr>
              <w:t>10.7</w:t>
            </w:r>
          </w:p>
        </w:tc>
        <w:tc>
          <w:tcPr>
            <w:tcW w:w="716" w:type="dxa"/>
            <w:tcBorders>
              <w:top w:val="nil"/>
              <w:left w:val="nil"/>
              <w:bottom w:val="nil"/>
              <w:right w:val="nil"/>
            </w:tcBorders>
            <w:shd w:val="clear" w:color="000000" w:fill="FFFFFF"/>
            <w:noWrap/>
            <w:vAlign w:val="center"/>
          </w:tcPr>
          <w:p>
            <w:pPr>
              <w:widowControl/>
              <w:spacing w:line="320" w:lineRule="exact"/>
              <w:jc w:val="center"/>
              <w:rPr>
                <w:rFonts w:ascii="Calibri" w:hAnsi="Calibri" w:cs="宋体"/>
                <w:color w:val="000000"/>
                <w:kern w:val="0"/>
                <w:sz w:val="20"/>
                <w:szCs w:val="20"/>
              </w:rPr>
            </w:pPr>
            <w:r>
              <w:rPr>
                <w:rFonts w:ascii="Calibri" w:hAnsi="Calibri" w:cs="宋体"/>
                <w:color w:val="000000"/>
                <w:kern w:val="0"/>
                <w:sz w:val="20"/>
                <w:szCs w:val="20"/>
              </w:rPr>
              <w:t>25.0</w:t>
            </w:r>
          </w:p>
        </w:tc>
        <w:tc>
          <w:tcPr>
            <w:tcW w:w="715" w:type="dxa"/>
            <w:tcBorders>
              <w:top w:val="nil"/>
              <w:left w:val="nil"/>
              <w:bottom w:val="nil"/>
              <w:right w:val="nil"/>
            </w:tcBorders>
            <w:shd w:val="clear" w:color="000000" w:fill="FFFFFF"/>
            <w:noWrap/>
            <w:vAlign w:val="center"/>
          </w:tcPr>
          <w:p>
            <w:pPr>
              <w:widowControl/>
              <w:spacing w:line="320" w:lineRule="exact"/>
              <w:jc w:val="center"/>
              <w:rPr>
                <w:rFonts w:ascii="Calibri" w:hAnsi="Calibri" w:cs="宋体"/>
                <w:color w:val="000000"/>
                <w:kern w:val="0"/>
                <w:sz w:val="20"/>
                <w:szCs w:val="20"/>
              </w:rPr>
            </w:pPr>
            <w:r>
              <w:rPr>
                <w:rFonts w:ascii="Calibri" w:hAnsi="Calibri" w:cs="宋体"/>
                <w:color w:val="000000"/>
                <w:kern w:val="0"/>
                <w:sz w:val="20"/>
                <w:szCs w:val="20"/>
              </w:rPr>
              <w:t>0.0</w:t>
            </w:r>
          </w:p>
        </w:tc>
        <w:tc>
          <w:tcPr>
            <w:tcW w:w="716" w:type="dxa"/>
            <w:tcBorders>
              <w:top w:val="nil"/>
              <w:left w:val="nil"/>
              <w:bottom w:val="nil"/>
              <w:right w:val="nil"/>
            </w:tcBorders>
            <w:shd w:val="clear" w:color="000000" w:fill="FFFFFF"/>
            <w:noWrap/>
            <w:vAlign w:val="center"/>
          </w:tcPr>
          <w:p>
            <w:pPr>
              <w:widowControl/>
              <w:spacing w:line="320" w:lineRule="exact"/>
              <w:jc w:val="center"/>
              <w:rPr>
                <w:rFonts w:ascii="Calibri" w:hAnsi="Calibri" w:cs="宋体"/>
                <w:color w:val="000000"/>
                <w:kern w:val="0"/>
                <w:sz w:val="20"/>
                <w:szCs w:val="20"/>
              </w:rPr>
            </w:pPr>
            <w:r>
              <w:rPr>
                <w:rFonts w:ascii="Calibri" w:hAnsi="Calibri" w:cs="宋体"/>
                <w:color w:val="000000"/>
                <w:kern w:val="0"/>
                <w:sz w:val="20"/>
                <w:szCs w:val="20"/>
              </w:rPr>
              <w:t>0.0</w:t>
            </w:r>
          </w:p>
        </w:tc>
        <w:tc>
          <w:tcPr>
            <w:tcW w:w="715" w:type="dxa"/>
            <w:tcBorders>
              <w:top w:val="nil"/>
              <w:left w:val="nil"/>
              <w:bottom w:val="nil"/>
              <w:right w:val="nil"/>
            </w:tcBorders>
            <w:shd w:val="clear" w:color="000000" w:fill="FFFFFF"/>
            <w:noWrap/>
            <w:vAlign w:val="center"/>
          </w:tcPr>
          <w:p>
            <w:pPr>
              <w:widowControl/>
              <w:spacing w:line="320" w:lineRule="exact"/>
              <w:jc w:val="center"/>
              <w:rPr>
                <w:rFonts w:ascii="Calibri" w:hAnsi="Calibri" w:cs="宋体"/>
                <w:color w:val="000000"/>
                <w:kern w:val="0"/>
                <w:sz w:val="20"/>
                <w:szCs w:val="20"/>
              </w:rPr>
            </w:pPr>
            <w:r>
              <w:rPr>
                <w:rFonts w:ascii="Calibri" w:hAnsi="Calibri" w:cs="宋体"/>
                <w:color w:val="000000"/>
                <w:kern w:val="0"/>
                <w:sz w:val="20"/>
                <w:szCs w:val="20"/>
              </w:rPr>
              <w:t>0.0</w:t>
            </w:r>
          </w:p>
        </w:tc>
        <w:tc>
          <w:tcPr>
            <w:tcW w:w="716" w:type="dxa"/>
            <w:tcBorders>
              <w:top w:val="nil"/>
              <w:left w:val="nil"/>
              <w:bottom w:val="nil"/>
              <w:right w:val="nil"/>
            </w:tcBorders>
            <w:shd w:val="clear" w:color="000000" w:fill="FFFFFF"/>
            <w:noWrap/>
            <w:vAlign w:val="center"/>
          </w:tcPr>
          <w:p>
            <w:pPr>
              <w:widowControl/>
              <w:spacing w:line="320" w:lineRule="exact"/>
              <w:jc w:val="center"/>
              <w:rPr>
                <w:rFonts w:ascii="Calibri" w:hAnsi="Calibri" w:cs="宋体"/>
                <w:color w:val="000000"/>
                <w:kern w:val="0"/>
                <w:sz w:val="20"/>
                <w:szCs w:val="20"/>
              </w:rPr>
            </w:pPr>
            <w:r>
              <w:rPr>
                <w:rFonts w:ascii="Calibri" w:hAnsi="Calibri" w:cs="宋体"/>
                <w:color w:val="000000"/>
                <w:kern w:val="0"/>
                <w:sz w:val="20"/>
                <w:szCs w:val="20"/>
              </w:rPr>
              <w:t>0.0</w:t>
            </w:r>
          </w:p>
        </w:tc>
        <w:tc>
          <w:tcPr>
            <w:tcW w:w="716" w:type="dxa"/>
            <w:tcBorders>
              <w:top w:val="nil"/>
              <w:left w:val="nil"/>
              <w:bottom w:val="nil"/>
              <w:right w:val="nil"/>
            </w:tcBorders>
            <w:shd w:val="clear" w:color="000000" w:fill="FFFFFF"/>
            <w:noWrap/>
            <w:vAlign w:val="center"/>
          </w:tcPr>
          <w:p>
            <w:pPr>
              <w:widowControl/>
              <w:spacing w:line="320" w:lineRule="exact"/>
              <w:jc w:val="center"/>
              <w:rPr>
                <w:rFonts w:ascii="Calibri" w:hAnsi="Calibri" w:cs="宋体"/>
                <w:color w:val="000000"/>
                <w:kern w:val="0"/>
                <w:sz w:val="20"/>
                <w:szCs w:val="20"/>
              </w:rPr>
            </w:pPr>
            <w:r>
              <w:rPr>
                <w:rFonts w:ascii="Calibri" w:hAnsi="Calibri" w:cs="宋体"/>
                <w:color w:val="000000"/>
                <w:kern w:val="0"/>
                <w:sz w:val="20"/>
                <w:szCs w:val="20"/>
              </w:rPr>
              <w:t>3.6</w:t>
            </w:r>
          </w:p>
        </w:tc>
      </w:tr>
      <w:tr>
        <w:tblPrEx>
          <w:tblCellMar>
            <w:top w:w="0" w:type="dxa"/>
            <w:left w:w="108" w:type="dxa"/>
            <w:bottom w:w="0" w:type="dxa"/>
            <w:right w:w="108" w:type="dxa"/>
          </w:tblCellMar>
        </w:tblPrEx>
        <w:trPr>
          <w:trHeight w:val="270" w:hRule="atLeast"/>
          <w:jc w:val="center"/>
        </w:trPr>
        <w:tc>
          <w:tcPr>
            <w:tcW w:w="1734" w:type="dxa"/>
            <w:tcBorders>
              <w:top w:val="nil"/>
              <w:left w:val="nil"/>
              <w:bottom w:val="nil"/>
              <w:right w:val="nil"/>
            </w:tcBorders>
            <w:shd w:val="clear" w:color="000000" w:fill="BEEDF8"/>
            <w:noWrap/>
            <w:vAlign w:val="center"/>
          </w:tcPr>
          <w:p>
            <w:pPr>
              <w:widowControl/>
              <w:spacing w:line="320" w:lineRule="exact"/>
              <w:jc w:val="left"/>
              <w:rPr>
                <w:rFonts w:ascii="Calibri" w:hAnsi="Calibri" w:cs="宋体"/>
                <w:color w:val="000000"/>
                <w:kern w:val="0"/>
                <w:sz w:val="20"/>
                <w:szCs w:val="20"/>
              </w:rPr>
            </w:pPr>
            <w:r>
              <w:rPr>
                <w:rFonts w:ascii="Calibri" w:hAnsi="Calibri" w:cs="宋体"/>
                <w:color w:val="000000"/>
                <w:kern w:val="0"/>
                <w:sz w:val="20"/>
                <w:szCs w:val="20"/>
              </w:rPr>
              <w:t>音乐表演</w:t>
            </w:r>
          </w:p>
        </w:tc>
        <w:tc>
          <w:tcPr>
            <w:tcW w:w="715" w:type="dxa"/>
            <w:tcBorders>
              <w:top w:val="nil"/>
              <w:left w:val="nil"/>
              <w:bottom w:val="nil"/>
              <w:right w:val="nil"/>
            </w:tcBorders>
            <w:shd w:val="clear" w:color="000000" w:fill="BEEDF8"/>
            <w:noWrap/>
            <w:vAlign w:val="center"/>
          </w:tcPr>
          <w:p>
            <w:pPr>
              <w:widowControl/>
              <w:spacing w:line="320" w:lineRule="exact"/>
              <w:jc w:val="center"/>
              <w:rPr>
                <w:rFonts w:ascii="Calibri" w:hAnsi="Calibri" w:cs="宋体"/>
                <w:color w:val="000000"/>
                <w:kern w:val="0"/>
                <w:sz w:val="20"/>
                <w:szCs w:val="20"/>
              </w:rPr>
            </w:pPr>
            <w:r>
              <w:rPr>
                <w:rFonts w:ascii="Calibri" w:hAnsi="Calibri" w:cs="宋体"/>
                <w:color w:val="000000"/>
                <w:kern w:val="0"/>
                <w:sz w:val="20"/>
                <w:szCs w:val="20"/>
              </w:rPr>
              <w:t>33.3</w:t>
            </w:r>
          </w:p>
        </w:tc>
        <w:tc>
          <w:tcPr>
            <w:tcW w:w="716" w:type="dxa"/>
            <w:tcBorders>
              <w:top w:val="nil"/>
              <w:left w:val="nil"/>
              <w:bottom w:val="nil"/>
              <w:right w:val="nil"/>
            </w:tcBorders>
            <w:shd w:val="clear" w:color="000000" w:fill="BEEDF8"/>
            <w:noWrap/>
            <w:vAlign w:val="center"/>
          </w:tcPr>
          <w:p>
            <w:pPr>
              <w:widowControl/>
              <w:spacing w:line="320" w:lineRule="exact"/>
              <w:jc w:val="center"/>
              <w:rPr>
                <w:rFonts w:ascii="Calibri" w:hAnsi="Calibri" w:cs="宋体"/>
                <w:color w:val="000000"/>
                <w:kern w:val="0"/>
                <w:sz w:val="20"/>
                <w:szCs w:val="20"/>
              </w:rPr>
            </w:pPr>
            <w:r>
              <w:rPr>
                <w:rFonts w:ascii="Calibri" w:hAnsi="Calibri" w:cs="宋体"/>
                <w:color w:val="000000"/>
                <w:kern w:val="0"/>
                <w:sz w:val="20"/>
                <w:szCs w:val="20"/>
              </w:rPr>
              <w:t>0.0</w:t>
            </w:r>
          </w:p>
        </w:tc>
        <w:tc>
          <w:tcPr>
            <w:tcW w:w="715" w:type="dxa"/>
            <w:tcBorders>
              <w:top w:val="nil"/>
              <w:left w:val="nil"/>
              <w:bottom w:val="nil"/>
              <w:right w:val="nil"/>
            </w:tcBorders>
            <w:shd w:val="clear" w:color="000000" w:fill="BEEDF8"/>
            <w:noWrap/>
            <w:vAlign w:val="center"/>
          </w:tcPr>
          <w:p>
            <w:pPr>
              <w:widowControl/>
              <w:spacing w:line="320" w:lineRule="exact"/>
              <w:jc w:val="center"/>
              <w:rPr>
                <w:rFonts w:ascii="Calibri" w:hAnsi="Calibri" w:cs="宋体"/>
                <w:color w:val="000000"/>
                <w:kern w:val="0"/>
                <w:sz w:val="20"/>
                <w:szCs w:val="20"/>
              </w:rPr>
            </w:pPr>
            <w:r>
              <w:rPr>
                <w:rFonts w:ascii="Calibri" w:hAnsi="Calibri" w:cs="宋体"/>
                <w:color w:val="000000"/>
                <w:kern w:val="0"/>
                <w:sz w:val="20"/>
                <w:szCs w:val="20"/>
              </w:rPr>
              <w:t>50.0</w:t>
            </w:r>
          </w:p>
        </w:tc>
        <w:tc>
          <w:tcPr>
            <w:tcW w:w="716" w:type="dxa"/>
            <w:tcBorders>
              <w:top w:val="nil"/>
              <w:left w:val="nil"/>
              <w:bottom w:val="nil"/>
              <w:right w:val="nil"/>
            </w:tcBorders>
            <w:shd w:val="clear" w:color="000000" w:fill="BEEDF8"/>
            <w:noWrap/>
            <w:vAlign w:val="center"/>
          </w:tcPr>
          <w:p>
            <w:pPr>
              <w:widowControl/>
              <w:spacing w:line="320" w:lineRule="exact"/>
              <w:jc w:val="center"/>
              <w:rPr>
                <w:rFonts w:ascii="Calibri" w:hAnsi="Calibri" w:cs="宋体"/>
                <w:color w:val="000000"/>
                <w:kern w:val="0"/>
                <w:sz w:val="20"/>
                <w:szCs w:val="20"/>
              </w:rPr>
            </w:pPr>
            <w:r>
              <w:rPr>
                <w:rFonts w:ascii="Calibri" w:hAnsi="Calibri" w:cs="宋体"/>
                <w:color w:val="000000"/>
                <w:kern w:val="0"/>
                <w:sz w:val="20"/>
                <w:szCs w:val="20"/>
              </w:rPr>
              <w:t>0.0</w:t>
            </w:r>
          </w:p>
        </w:tc>
        <w:tc>
          <w:tcPr>
            <w:tcW w:w="716" w:type="dxa"/>
            <w:tcBorders>
              <w:top w:val="nil"/>
              <w:left w:val="nil"/>
              <w:bottom w:val="nil"/>
              <w:right w:val="nil"/>
            </w:tcBorders>
            <w:shd w:val="clear" w:color="000000" w:fill="BEEDF8"/>
            <w:noWrap/>
            <w:vAlign w:val="center"/>
          </w:tcPr>
          <w:p>
            <w:pPr>
              <w:widowControl/>
              <w:spacing w:line="320" w:lineRule="exact"/>
              <w:jc w:val="center"/>
              <w:rPr>
                <w:rFonts w:ascii="Calibri" w:hAnsi="Calibri" w:cs="宋体"/>
                <w:color w:val="000000"/>
                <w:kern w:val="0"/>
                <w:sz w:val="20"/>
                <w:szCs w:val="20"/>
              </w:rPr>
            </w:pPr>
            <w:r>
              <w:rPr>
                <w:rFonts w:ascii="Calibri" w:hAnsi="Calibri" w:cs="宋体"/>
                <w:color w:val="000000"/>
                <w:kern w:val="0"/>
                <w:sz w:val="20"/>
                <w:szCs w:val="20"/>
              </w:rPr>
              <w:t>0.0</w:t>
            </w:r>
          </w:p>
        </w:tc>
        <w:tc>
          <w:tcPr>
            <w:tcW w:w="715" w:type="dxa"/>
            <w:tcBorders>
              <w:top w:val="nil"/>
              <w:left w:val="nil"/>
              <w:bottom w:val="nil"/>
              <w:right w:val="nil"/>
            </w:tcBorders>
            <w:shd w:val="clear" w:color="000000" w:fill="BEEDF8"/>
            <w:noWrap/>
            <w:vAlign w:val="center"/>
          </w:tcPr>
          <w:p>
            <w:pPr>
              <w:widowControl/>
              <w:spacing w:line="320" w:lineRule="exact"/>
              <w:jc w:val="center"/>
              <w:rPr>
                <w:rFonts w:ascii="Calibri" w:hAnsi="Calibri" w:cs="宋体"/>
                <w:color w:val="000000"/>
                <w:kern w:val="0"/>
                <w:sz w:val="20"/>
                <w:szCs w:val="20"/>
              </w:rPr>
            </w:pPr>
            <w:r>
              <w:rPr>
                <w:rFonts w:ascii="Calibri" w:hAnsi="Calibri" w:cs="宋体"/>
                <w:color w:val="000000"/>
                <w:kern w:val="0"/>
                <w:sz w:val="20"/>
                <w:szCs w:val="20"/>
              </w:rPr>
              <w:t>0.0</w:t>
            </w:r>
          </w:p>
        </w:tc>
        <w:tc>
          <w:tcPr>
            <w:tcW w:w="716" w:type="dxa"/>
            <w:tcBorders>
              <w:top w:val="nil"/>
              <w:left w:val="nil"/>
              <w:bottom w:val="nil"/>
              <w:right w:val="nil"/>
            </w:tcBorders>
            <w:shd w:val="clear" w:color="000000" w:fill="BEEDF8"/>
            <w:noWrap/>
            <w:vAlign w:val="center"/>
          </w:tcPr>
          <w:p>
            <w:pPr>
              <w:widowControl/>
              <w:spacing w:line="320" w:lineRule="exact"/>
              <w:jc w:val="center"/>
              <w:rPr>
                <w:rFonts w:ascii="Calibri" w:hAnsi="Calibri" w:cs="宋体"/>
                <w:color w:val="000000"/>
                <w:kern w:val="0"/>
                <w:sz w:val="20"/>
                <w:szCs w:val="20"/>
              </w:rPr>
            </w:pPr>
            <w:r>
              <w:rPr>
                <w:rFonts w:ascii="Calibri" w:hAnsi="Calibri" w:cs="宋体"/>
                <w:color w:val="000000"/>
                <w:kern w:val="0"/>
                <w:sz w:val="20"/>
                <w:szCs w:val="20"/>
              </w:rPr>
              <w:t>0.0</w:t>
            </w:r>
          </w:p>
        </w:tc>
        <w:tc>
          <w:tcPr>
            <w:tcW w:w="715" w:type="dxa"/>
            <w:tcBorders>
              <w:top w:val="nil"/>
              <w:left w:val="nil"/>
              <w:bottom w:val="nil"/>
              <w:right w:val="nil"/>
            </w:tcBorders>
            <w:shd w:val="clear" w:color="000000" w:fill="BEEDF8"/>
            <w:noWrap/>
            <w:vAlign w:val="center"/>
          </w:tcPr>
          <w:p>
            <w:pPr>
              <w:widowControl/>
              <w:spacing w:line="320" w:lineRule="exact"/>
              <w:jc w:val="center"/>
              <w:rPr>
                <w:rFonts w:ascii="Calibri" w:hAnsi="Calibri" w:cs="宋体"/>
                <w:color w:val="000000"/>
                <w:kern w:val="0"/>
                <w:sz w:val="20"/>
                <w:szCs w:val="20"/>
              </w:rPr>
            </w:pPr>
            <w:r>
              <w:rPr>
                <w:rFonts w:ascii="Calibri" w:hAnsi="Calibri" w:cs="宋体"/>
                <w:color w:val="000000"/>
                <w:kern w:val="0"/>
                <w:sz w:val="20"/>
                <w:szCs w:val="20"/>
              </w:rPr>
              <w:t>0.0</w:t>
            </w:r>
          </w:p>
        </w:tc>
        <w:tc>
          <w:tcPr>
            <w:tcW w:w="716" w:type="dxa"/>
            <w:tcBorders>
              <w:top w:val="nil"/>
              <w:left w:val="nil"/>
              <w:bottom w:val="nil"/>
              <w:right w:val="nil"/>
            </w:tcBorders>
            <w:shd w:val="clear" w:color="000000" w:fill="BEEDF8"/>
            <w:noWrap/>
            <w:vAlign w:val="center"/>
          </w:tcPr>
          <w:p>
            <w:pPr>
              <w:widowControl/>
              <w:spacing w:line="320" w:lineRule="exact"/>
              <w:jc w:val="center"/>
              <w:rPr>
                <w:rFonts w:ascii="Calibri" w:hAnsi="Calibri" w:cs="宋体"/>
                <w:color w:val="000000"/>
                <w:kern w:val="0"/>
                <w:sz w:val="20"/>
                <w:szCs w:val="20"/>
              </w:rPr>
            </w:pPr>
            <w:r>
              <w:rPr>
                <w:rFonts w:ascii="Calibri" w:hAnsi="Calibri" w:cs="宋体"/>
                <w:color w:val="000000"/>
                <w:kern w:val="0"/>
                <w:sz w:val="20"/>
                <w:szCs w:val="20"/>
              </w:rPr>
              <w:t>0.0</w:t>
            </w:r>
          </w:p>
        </w:tc>
        <w:tc>
          <w:tcPr>
            <w:tcW w:w="716" w:type="dxa"/>
            <w:tcBorders>
              <w:top w:val="nil"/>
              <w:left w:val="nil"/>
              <w:bottom w:val="nil"/>
              <w:right w:val="nil"/>
            </w:tcBorders>
            <w:shd w:val="clear" w:color="000000" w:fill="BEEDF8"/>
            <w:noWrap/>
            <w:vAlign w:val="center"/>
          </w:tcPr>
          <w:p>
            <w:pPr>
              <w:widowControl/>
              <w:spacing w:line="320" w:lineRule="exact"/>
              <w:jc w:val="center"/>
              <w:rPr>
                <w:rFonts w:ascii="Calibri" w:hAnsi="Calibri" w:cs="宋体"/>
                <w:color w:val="000000"/>
                <w:kern w:val="0"/>
                <w:sz w:val="20"/>
                <w:szCs w:val="20"/>
              </w:rPr>
            </w:pPr>
            <w:r>
              <w:rPr>
                <w:rFonts w:ascii="Calibri" w:hAnsi="Calibri" w:cs="宋体"/>
                <w:color w:val="000000"/>
                <w:kern w:val="0"/>
                <w:sz w:val="20"/>
                <w:szCs w:val="20"/>
              </w:rPr>
              <w:t>16.7</w:t>
            </w:r>
          </w:p>
        </w:tc>
      </w:tr>
      <w:tr>
        <w:tblPrEx>
          <w:tblCellMar>
            <w:top w:w="0" w:type="dxa"/>
            <w:left w:w="108" w:type="dxa"/>
            <w:bottom w:w="0" w:type="dxa"/>
            <w:right w:w="108" w:type="dxa"/>
          </w:tblCellMar>
        </w:tblPrEx>
        <w:trPr>
          <w:trHeight w:val="270" w:hRule="atLeast"/>
          <w:jc w:val="center"/>
        </w:trPr>
        <w:tc>
          <w:tcPr>
            <w:tcW w:w="1734" w:type="dxa"/>
            <w:tcBorders>
              <w:top w:val="nil"/>
              <w:left w:val="nil"/>
              <w:bottom w:val="nil"/>
              <w:right w:val="nil"/>
            </w:tcBorders>
            <w:shd w:val="clear" w:color="000000" w:fill="FFFFFF"/>
            <w:noWrap/>
            <w:vAlign w:val="center"/>
          </w:tcPr>
          <w:p>
            <w:pPr>
              <w:widowControl/>
              <w:spacing w:line="320" w:lineRule="exact"/>
              <w:jc w:val="left"/>
              <w:rPr>
                <w:rFonts w:ascii="Calibri" w:hAnsi="Calibri" w:cs="宋体"/>
                <w:color w:val="000000"/>
                <w:kern w:val="0"/>
                <w:sz w:val="20"/>
                <w:szCs w:val="20"/>
              </w:rPr>
            </w:pPr>
            <w:r>
              <w:rPr>
                <w:rFonts w:ascii="Calibri" w:hAnsi="Calibri" w:cs="宋体"/>
                <w:color w:val="000000"/>
                <w:kern w:val="0"/>
                <w:sz w:val="20"/>
                <w:szCs w:val="20"/>
              </w:rPr>
              <w:t>应用阿拉伯语</w:t>
            </w:r>
          </w:p>
        </w:tc>
        <w:tc>
          <w:tcPr>
            <w:tcW w:w="715" w:type="dxa"/>
            <w:tcBorders>
              <w:top w:val="nil"/>
              <w:left w:val="nil"/>
              <w:bottom w:val="nil"/>
              <w:right w:val="nil"/>
            </w:tcBorders>
            <w:shd w:val="clear" w:color="000000" w:fill="FFFFFF"/>
            <w:noWrap/>
            <w:vAlign w:val="center"/>
          </w:tcPr>
          <w:p>
            <w:pPr>
              <w:widowControl/>
              <w:spacing w:line="320" w:lineRule="exact"/>
              <w:jc w:val="center"/>
              <w:rPr>
                <w:rFonts w:ascii="Calibri" w:hAnsi="Calibri" w:cs="宋体"/>
                <w:color w:val="000000"/>
                <w:kern w:val="0"/>
                <w:sz w:val="20"/>
                <w:szCs w:val="20"/>
              </w:rPr>
            </w:pPr>
            <w:r>
              <w:rPr>
                <w:rFonts w:ascii="Calibri" w:hAnsi="Calibri" w:cs="宋体"/>
                <w:color w:val="000000"/>
                <w:kern w:val="0"/>
                <w:sz w:val="20"/>
                <w:szCs w:val="20"/>
              </w:rPr>
              <w:t>33.3</w:t>
            </w:r>
          </w:p>
        </w:tc>
        <w:tc>
          <w:tcPr>
            <w:tcW w:w="716" w:type="dxa"/>
            <w:tcBorders>
              <w:top w:val="nil"/>
              <w:left w:val="nil"/>
              <w:bottom w:val="nil"/>
              <w:right w:val="nil"/>
            </w:tcBorders>
            <w:shd w:val="clear" w:color="000000" w:fill="FFFFFF"/>
            <w:noWrap/>
            <w:vAlign w:val="center"/>
          </w:tcPr>
          <w:p>
            <w:pPr>
              <w:widowControl/>
              <w:spacing w:line="320" w:lineRule="exact"/>
              <w:jc w:val="center"/>
              <w:rPr>
                <w:rFonts w:ascii="Calibri" w:hAnsi="Calibri" w:cs="宋体"/>
                <w:color w:val="000000"/>
                <w:kern w:val="0"/>
                <w:sz w:val="20"/>
                <w:szCs w:val="20"/>
              </w:rPr>
            </w:pPr>
            <w:r>
              <w:rPr>
                <w:rFonts w:ascii="Calibri" w:hAnsi="Calibri" w:cs="宋体"/>
                <w:color w:val="000000"/>
                <w:kern w:val="0"/>
                <w:sz w:val="20"/>
                <w:szCs w:val="20"/>
              </w:rPr>
              <w:t>0.0</w:t>
            </w:r>
          </w:p>
        </w:tc>
        <w:tc>
          <w:tcPr>
            <w:tcW w:w="715" w:type="dxa"/>
            <w:tcBorders>
              <w:top w:val="nil"/>
              <w:left w:val="nil"/>
              <w:bottom w:val="nil"/>
              <w:right w:val="nil"/>
            </w:tcBorders>
            <w:shd w:val="clear" w:color="000000" w:fill="FFFFFF"/>
            <w:noWrap/>
            <w:vAlign w:val="center"/>
          </w:tcPr>
          <w:p>
            <w:pPr>
              <w:widowControl/>
              <w:spacing w:line="320" w:lineRule="exact"/>
              <w:jc w:val="center"/>
              <w:rPr>
                <w:rFonts w:ascii="Calibri" w:hAnsi="Calibri" w:cs="宋体"/>
                <w:color w:val="000000"/>
                <w:kern w:val="0"/>
                <w:sz w:val="20"/>
                <w:szCs w:val="20"/>
              </w:rPr>
            </w:pPr>
            <w:r>
              <w:rPr>
                <w:rFonts w:ascii="Calibri" w:hAnsi="Calibri" w:cs="宋体"/>
                <w:color w:val="000000"/>
                <w:kern w:val="0"/>
                <w:sz w:val="20"/>
                <w:szCs w:val="20"/>
              </w:rPr>
              <w:t>0.0</w:t>
            </w:r>
          </w:p>
        </w:tc>
        <w:tc>
          <w:tcPr>
            <w:tcW w:w="716" w:type="dxa"/>
            <w:tcBorders>
              <w:top w:val="nil"/>
              <w:left w:val="nil"/>
              <w:bottom w:val="nil"/>
              <w:right w:val="nil"/>
            </w:tcBorders>
            <w:shd w:val="clear" w:color="000000" w:fill="FFFFFF"/>
            <w:noWrap/>
            <w:vAlign w:val="center"/>
          </w:tcPr>
          <w:p>
            <w:pPr>
              <w:widowControl/>
              <w:spacing w:line="320" w:lineRule="exact"/>
              <w:jc w:val="center"/>
              <w:rPr>
                <w:rFonts w:ascii="Calibri" w:hAnsi="Calibri" w:cs="宋体"/>
                <w:color w:val="000000"/>
                <w:kern w:val="0"/>
                <w:sz w:val="20"/>
                <w:szCs w:val="20"/>
              </w:rPr>
            </w:pPr>
            <w:r>
              <w:rPr>
                <w:rFonts w:ascii="Calibri" w:hAnsi="Calibri" w:cs="宋体"/>
                <w:color w:val="000000"/>
                <w:kern w:val="0"/>
                <w:sz w:val="20"/>
                <w:szCs w:val="20"/>
              </w:rPr>
              <w:t>0.0</w:t>
            </w:r>
          </w:p>
        </w:tc>
        <w:tc>
          <w:tcPr>
            <w:tcW w:w="716" w:type="dxa"/>
            <w:tcBorders>
              <w:top w:val="nil"/>
              <w:left w:val="nil"/>
              <w:bottom w:val="nil"/>
              <w:right w:val="nil"/>
            </w:tcBorders>
            <w:shd w:val="clear" w:color="000000" w:fill="FFFFFF"/>
            <w:noWrap/>
            <w:vAlign w:val="center"/>
          </w:tcPr>
          <w:p>
            <w:pPr>
              <w:widowControl/>
              <w:spacing w:line="320" w:lineRule="exact"/>
              <w:jc w:val="center"/>
              <w:rPr>
                <w:rFonts w:ascii="Calibri" w:hAnsi="Calibri" w:cs="宋体"/>
                <w:color w:val="000000"/>
                <w:kern w:val="0"/>
                <w:sz w:val="20"/>
                <w:szCs w:val="20"/>
              </w:rPr>
            </w:pPr>
            <w:r>
              <w:rPr>
                <w:rFonts w:ascii="Calibri" w:hAnsi="Calibri" w:cs="宋体"/>
                <w:color w:val="000000"/>
                <w:kern w:val="0"/>
                <w:sz w:val="20"/>
                <w:szCs w:val="20"/>
              </w:rPr>
              <w:t>66.7</w:t>
            </w:r>
          </w:p>
        </w:tc>
        <w:tc>
          <w:tcPr>
            <w:tcW w:w="715" w:type="dxa"/>
            <w:tcBorders>
              <w:top w:val="nil"/>
              <w:left w:val="nil"/>
              <w:bottom w:val="nil"/>
              <w:right w:val="nil"/>
            </w:tcBorders>
            <w:shd w:val="clear" w:color="000000" w:fill="FFFFFF"/>
            <w:noWrap/>
            <w:vAlign w:val="center"/>
          </w:tcPr>
          <w:p>
            <w:pPr>
              <w:widowControl/>
              <w:spacing w:line="320" w:lineRule="exact"/>
              <w:jc w:val="center"/>
              <w:rPr>
                <w:rFonts w:ascii="Calibri" w:hAnsi="Calibri" w:cs="宋体"/>
                <w:color w:val="000000"/>
                <w:kern w:val="0"/>
                <w:sz w:val="20"/>
                <w:szCs w:val="20"/>
              </w:rPr>
            </w:pPr>
            <w:r>
              <w:rPr>
                <w:rFonts w:ascii="Calibri" w:hAnsi="Calibri" w:cs="宋体"/>
                <w:color w:val="000000"/>
                <w:kern w:val="0"/>
                <w:sz w:val="20"/>
                <w:szCs w:val="20"/>
              </w:rPr>
              <w:t>0.0</w:t>
            </w:r>
          </w:p>
        </w:tc>
        <w:tc>
          <w:tcPr>
            <w:tcW w:w="716" w:type="dxa"/>
            <w:tcBorders>
              <w:top w:val="nil"/>
              <w:left w:val="nil"/>
              <w:bottom w:val="nil"/>
              <w:right w:val="nil"/>
            </w:tcBorders>
            <w:shd w:val="clear" w:color="000000" w:fill="FFFFFF"/>
            <w:noWrap/>
            <w:vAlign w:val="center"/>
          </w:tcPr>
          <w:p>
            <w:pPr>
              <w:widowControl/>
              <w:spacing w:line="320" w:lineRule="exact"/>
              <w:jc w:val="center"/>
              <w:rPr>
                <w:rFonts w:ascii="Calibri" w:hAnsi="Calibri" w:cs="宋体"/>
                <w:color w:val="000000"/>
                <w:kern w:val="0"/>
                <w:sz w:val="20"/>
                <w:szCs w:val="20"/>
              </w:rPr>
            </w:pPr>
            <w:r>
              <w:rPr>
                <w:rFonts w:ascii="Calibri" w:hAnsi="Calibri" w:cs="宋体"/>
                <w:color w:val="000000"/>
                <w:kern w:val="0"/>
                <w:sz w:val="20"/>
                <w:szCs w:val="20"/>
              </w:rPr>
              <w:t>0.0</w:t>
            </w:r>
          </w:p>
        </w:tc>
        <w:tc>
          <w:tcPr>
            <w:tcW w:w="715" w:type="dxa"/>
            <w:tcBorders>
              <w:top w:val="nil"/>
              <w:left w:val="nil"/>
              <w:bottom w:val="nil"/>
              <w:right w:val="nil"/>
            </w:tcBorders>
            <w:shd w:val="clear" w:color="000000" w:fill="FFFFFF"/>
            <w:noWrap/>
            <w:vAlign w:val="center"/>
          </w:tcPr>
          <w:p>
            <w:pPr>
              <w:widowControl/>
              <w:spacing w:line="320" w:lineRule="exact"/>
              <w:jc w:val="center"/>
              <w:rPr>
                <w:rFonts w:ascii="Calibri" w:hAnsi="Calibri" w:cs="宋体"/>
                <w:color w:val="000000"/>
                <w:kern w:val="0"/>
                <w:sz w:val="20"/>
                <w:szCs w:val="20"/>
              </w:rPr>
            </w:pPr>
            <w:r>
              <w:rPr>
                <w:rFonts w:ascii="Calibri" w:hAnsi="Calibri" w:cs="宋体"/>
                <w:color w:val="000000"/>
                <w:kern w:val="0"/>
                <w:sz w:val="20"/>
                <w:szCs w:val="20"/>
              </w:rPr>
              <w:t>0.0</w:t>
            </w:r>
          </w:p>
        </w:tc>
        <w:tc>
          <w:tcPr>
            <w:tcW w:w="716" w:type="dxa"/>
            <w:tcBorders>
              <w:top w:val="nil"/>
              <w:left w:val="nil"/>
              <w:bottom w:val="nil"/>
              <w:right w:val="nil"/>
            </w:tcBorders>
            <w:shd w:val="clear" w:color="000000" w:fill="FFFFFF"/>
            <w:noWrap/>
            <w:vAlign w:val="center"/>
          </w:tcPr>
          <w:p>
            <w:pPr>
              <w:widowControl/>
              <w:spacing w:line="320" w:lineRule="exact"/>
              <w:jc w:val="center"/>
              <w:rPr>
                <w:rFonts w:ascii="Calibri" w:hAnsi="Calibri" w:cs="宋体"/>
                <w:color w:val="000000"/>
                <w:kern w:val="0"/>
                <w:sz w:val="20"/>
                <w:szCs w:val="20"/>
              </w:rPr>
            </w:pPr>
            <w:r>
              <w:rPr>
                <w:rFonts w:ascii="Calibri" w:hAnsi="Calibri" w:cs="宋体"/>
                <w:color w:val="000000"/>
                <w:kern w:val="0"/>
                <w:sz w:val="20"/>
                <w:szCs w:val="20"/>
              </w:rPr>
              <w:t>0.0</w:t>
            </w:r>
          </w:p>
        </w:tc>
        <w:tc>
          <w:tcPr>
            <w:tcW w:w="716" w:type="dxa"/>
            <w:tcBorders>
              <w:top w:val="nil"/>
              <w:left w:val="nil"/>
              <w:bottom w:val="nil"/>
              <w:right w:val="nil"/>
            </w:tcBorders>
            <w:shd w:val="clear" w:color="000000" w:fill="FFFFFF"/>
            <w:noWrap/>
            <w:vAlign w:val="center"/>
          </w:tcPr>
          <w:p>
            <w:pPr>
              <w:widowControl/>
              <w:spacing w:line="320" w:lineRule="exact"/>
              <w:jc w:val="center"/>
              <w:rPr>
                <w:rFonts w:ascii="Calibri" w:hAnsi="Calibri" w:cs="宋体"/>
                <w:color w:val="000000"/>
                <w:kern w:val="0"/>
                <w:sz w:val="20"/>
                <w:szCs w:val="20"/>
              </w:rPr>
            </w:pPr>
            <w:r>
              <w:rPr>
                <w:rFonts w:ascii="Calibri" w:hAnsi="Calibri" w:cs="宋体"/>
                <w:color w:val="000000"/>
                <w:kern w:val="0"/>
                <w:sz w:val="20"/>
                <w:szCs w:val="20"/>
              </w:rPr>
              <w:t>0.0</w:t>
            </w:r>
          </w:p>
        </w:tc>
      </w:tr>
      <w:tr>
        <w:tblPrEx>
          <w:tblCellMar>
            <w:top w:w="0" w:type="dxa"/>
            <w:left w:w="108" w:type="dxa"/>
            <w:bottom w:w="0" w:type="dxa"/>
            <w:right w:w="108" w:type="dxa"/>
          </w:tblCellMar>
        </w:tblPrEx>
        <w:trPr>
          <w:trHeight w:val="270" w:hRule="atLeast"/>
          <w:jc w:val="center"/>
        </w:trPr>
        <w:tc>
          <w:tcPr>
            <w:tcW w:w="1734" w:type="dxa"/>
            <w:tcBorders>
              <w:top w:val="nil"/>
              <w:left w:val="nil"/>
              <w:bottom w:val="nil"/>
              <w:right w:val="nil"/>
            </w:tcBorders>
            <w:shd w:val="clear" w:color="000000" w:fill="BEEDF8"/>
            <w:noWrap/>
            <w:vAlign w:val="center"/>
          </w:tcPr>
          <w:p>
            <w:pPr>
              <w:widowControl/>
              <w:spacing w:line="320" w:lineRule="exact"/>
              <w:jc w:val="left"/>
              <w:rPr>
                <w:rFonts w:ascii="Calibri" w:hAnsi="Calibri" w:cs="宋体"/>
                <w:color w:val="000000"/>
                <w:kern w:val="0"/>
                <w:sz w:val="20"/>
                <w:szCs w:val="20"/>
              </w:rPr>
            </w:pPr>
            <w:r>
              <w:rPr>
                <w:rFonts w:ascii="Calibri" w:hAnsi="Calibri" w:cs="宋体"/>
                <w:color w:val="000000"/>
                <w:kern w:val="0"/>
                <w:sz w:val="20"/>
                <w:szCs w:val="20"/>
              </w:rPr>
              <w:t>应用外语（印尼语）</w:t>
            </w:r>
          </w:p>
        </w:tc>
        <w:tc>
          <w:tcPr>
            <w:tcW w:w="715" w:type="dxa"/>
            <w:tcBorders>
              <w:top w:val="nil"/>
              <w:left w:val="nil"/>
              <w:bottom w:val="nil"/>
              <w:right w:val="nil"/>
            </w:tcBorders>
            <w:shd w:val="clear" w:color="000000" w:fill="BEEDF8"/>
            <w:noWrap/>
            <w:vAlign w:val="center"/>
          </w:tcPr>
          <w:p>
            <w:pPr>
              <w:widowControl/>
              <w:spacing w:line="320" w:lineRule="exact"/>
              <w:jc w:val="center"/>
              <w:rPr>
                <w:rFonts w:ascii="Calibri" w:hAnsi="Calibri" w:cs="宋体"/>
                <w:color w:val="000000"/>
                <w:kern w:val="0"/>
                <w:sz w:val="20"/>
                <w:szCs w:val="20"/>
              </w:rPr>
            </w:pPr>
            <w:r>
              <w:rPr>
                <w:rFonts w:ascii="Calibri" w:hAnsi="Calibri" w:cs="宋体"/>
                <w:color w:val="000000"/>
                <w:kern w:val="0"/>
                <w:sz w:val="20"/>
                <w:szCs w:val="20"/>
              </w:rPr>
              <w:t>33.3</w:t>
            </w:r>
          </w:p>
        </w:tc>
        <w:tc>
          <w:tcPr>
            <w:tcW w:w="716" w:type="dxa"/>
            <w:tcBorders>
              <w:top w:val="nil"/>
              <w:left w:val="nil"/>
              <w:bottom w:val="nil"/>
              <w:right w:val="nil"/>
            </w:tcBorders>
            <w:shd w:val="clear" w:color="000000" w:fill="BEEDF8"/>
            <w:noWrap/>
            <w:vAlign w:val="center"/>
          </w:tcPr>
          <w:p>
            <w:pPr>
              <w:widowControl/>
              <w:spacing w:line="320" w:lineRule="exact"/>
              <w:jc w:val="center"/>
              <w:rPr>
                <w:rFonts w:ascii="Calibri" w:hAnsi="Calibri" w:cs="宋体"/>
                <w:color w:val="000000"/>
                <w:kern w:val="0"/>
                <w:sz w:val="20"/>
                <w:szCs w:val="20"/>
              </w:rPr>
            </w:pPr>
            <w:r>
              <w:rPr>
                <w:rFonts w:ascii="Calibri" w:hAnsi="Calibri" w:cs="宋体"/>
                <w:color w:val="000000"/>
                <w:kern w:val="0"/>
                <w:sz w:val="20"/>
                <w:szCs w:val="20"/>
              </w:rPr>
              <w:t>0.0</w:t>
            </w:r>
          </w:p>
        </w:tc>
        <w:tc>
          <w:tcPr>
            <w:tcW w:w="715" w:type="dxa"/>
            <w:tcBorders>
              <w:top w:val="nil"/>
              <w:left w:val="nil"/>
              <w:bottom w:val="nil"/>
              <w:right w:val="nil"/>
            </w:tcBorders>
            <w:shd w:val="clear" w:color="000000" w:fill="BEEDF8"/>
            <w:noWrap/>
            <w:vAlign w:val="center"/>
          </w:tcPr>
          <w:p>
            <w:pPr>
              <w:widowControl/>
              <w:spacing w:line="320" w:lineRule="exact"/>
              <w:jc w:val="center"/>
              <w:rPr>
                <w:rFonts w:ascii="Calibri" w:hAnsi="Calibri" w:cs="宋体"/>
                <w:color w:val="000000"/>
                <w:kern w:val="0"/>
                <w:sz w:val="20"/>
                <w:szCs w:val="20"/>
              </w:rPr>
            </w:pPr>
            <w:r>
              <w:rPr>
                <w:rFonts w:ascii="Calibri" w:hAnsi="Calibri" w:cs="宋体"/>
                <w:color w:val="000000"/>
                <w:kern w:val="0"/>
                <w:sz w:val="20"/>
                <w:szCs w:val="20"/>
              </w:rPr>
              <w:t>66.7</w:t>
            </w:r>
          </w:p>
        </w:tc>
        <w:tc>
          <w:tcPr>
            <w:tcW w:w="716" w:type="dxa"/>
            <w:tcBorders>
              <w:top w:val="nil"/>
              <w:left w:val="nil"/>
              <w:bottom w:val="nil"/>
              <w:right w:val="nil"/>
            </w:tcBorders>
            <w:shd w:val="clear" w:color="000000" w:fill="BEEDF8"/>
            <w:noWrap/>
            <w:vAlign w:val="center"/>
          </w:tcPr>
          <w:p>
            <w:pPr>
              <w:widowControl/>
              <w:spacing w:line="320" w:lineRule="exact"/>
              <w:jc w:val="center"/>
              <w:rPr>
                <w:rFonts w:ascii="Calibri" w:hAnsi="Calibri" w:cs="宋体"/>
                <w:color w:val="000000"/>
                <w:kern w:val="0"/>
                <w:sz w:val="20"/>
                <w:szCs w:val="20"/>
              </w:rPr>
            </w:pPr>
            <w:r>
              <w:rPr>
                <w:rFonts w:ascii="Calibri" w:hAnsi="Calibri" w:cs="宋体"/>
                <w:color w:val="000000"/>
                <w:kern w:val="0"/>
                <w:sz w:val="20"/>
                <w:szCs w:val="20"/>
              </w:rPr>
              <w:t>0.0</w:t>
            </w:r>
          </w:p>
        </w:tc>
        <w:tc>
          <w:tcPr>
            <w:tcW w:w="716" w:type="dxa"/>
            <w:tcBorders>
              <w:top w:val="nil"/>
              <w:left w:val="nil"/>
              <w:bottom w:val="nil"/>
              <w:right w:val="nil"/>
            </w:tcBorders>
            <w:shd w:val="clear" w:color="000000" w:fill="BEEDF8"/>
            <w:noWrap/>
            <w:vAlign w:val="center"/>
          </w:tcPr>
          <w:p>
            <w:pPr>
              <w:widowControl/>
              <w:spacing w:line="320" w:lineRule="exact"/>
              <w:jc w:val="center"/>
              <w:rPr>
                <w:rFonts w:ascii="Calibri" w:hAnsi="Calibri" w:cs="宋体"/>
                <w:color w:val="000000"/>
                <w:kern w:val="0"/>
                <w:sz w:val="20"/>
                <w:szCs w:val="20"/>
              </w:rPr>
            </w:pPr>
            <w:r>
              <w:rPr>
                <w:rFonts w:ascii="Calibri" w:hAnsi="Calibri" w:cs="宋体"/>
                <w:color w:val="000000"/>
                <w:kern w:val="0"/>
                <w:sz w:val="20"/>
                <w:szCs w:val="20"/>
              </w:rPr>
              <w:t>0.0</w:t>
            </w:r>
          </w:p>
        </w:tc>
        <w:tc>
          <w:tcPr>
            <w:tcW w:w="715" w:type="dxa"/>
            <w:tcBorders>
              <w:top w:val="nil"/>
              <w:left w:val="nil"/>
              <w:bottom w:val="nil"/>
              <w:right w:val="nil"/>
            </w:tcBorders>
            <w:shd w:val="clear" w:color="000000" w:fill="BEEDF8"/>
            <w:noWrap/>
            <w:vAlign w:val="center"/>
          </w:tcPr>
          <w:p>
            <w:pPr>
              <w:widowControl/>
              <w:spacing w:line="320" w:lineRule="exact"/>
              <w:jc w:val="center"/>
              <w:rPr>
                <w:rFonts w:ascii="Calibri" w:hAnsi="Calibri" w:cs="宋体"/>
                <w:color w:val="000000"/>
                <w:kern w:val="0"/>
                <w:sz w:val="20"/>
                <w:szCs w:val="20"/>
              </w:rPr>
            </w:pPr>
            <w:r>
              <w:rPr>
                <w:rFonts w:ascii="Calibri" w:hAnsi="Calibri" w:cs="宋体"/>
                <w:color w:val="000000"/>
                <w:kern w:val="0"/>
                <w:sz w:val="20"/>
                <w:szCs w:val="20"/>
              </w:rPr>
              <w:t>0.0</w:t>
            </w:r>
          </w:p>
        </w:tc>
        <w:tc>
          <w:tcPr>
            <w:tcW w:w="716" w:type="dxa"/>
            <w:tcBorders>
              <w:top w:val="nil"/>
              <w:left w:val="nil"/>
              <w:bottom w:val="nil"/>
              <w:right w:val="nil"/>
            </w:tcBorders>
            <w:shd w:val="clear" w:color="000000" w:fill="BEEDF8"/>
            <w:noWrap/>
            <w:vAlign w:val="center"/>
          </w:tcPr>
          <w:p>
            <w:pPr>
              <w:widowControl/>
              <w:spacing w:line="320" w:lineRule="exact"/>
              <w:jc w:val="center"/>
              <w:rPr>
                <w:rFonts w:ascii="Calibri" w:hAnsi="Calibri" w:cs="宋体"/>
                <w:color w:val="000000"/>
                <w:kern w:val="0"/>
                <w:sz w:val="20"/>
                <w:szCs w:val="20"/>
              </w:rPr>
            </w:pPr>
            <w:r>
              <w:rPr>
                <w:rFonts w:ascii="Calibri" w:hAnsi="Calibri" w:cs="宋体"/>
                <w:color w:val="000000"/>
                <w:kern w:val="0"/>
                <w:sz w:val="20"/>
                <w:szCs w:val="20"/>
              </w:rPr>
              <w:t>0.0</w:t>
            </w:r>
          </w:p>
        </w:tc>
        <w:tc>
          <w:tcPr>
            <w:tcW w:w="715" w:type="dxa"/>
            <w:tcBorders>
              <w:top w:val="nil"/>
              <w:left w:val="nil"/>
              <w:bottom w:val="nil"/>
              <w:right w:val="nil"/>
            </w:tcBorders>
            <w:shd w:val="clear" w:color="000000" w:fill="BEEDF8"/>
            <w:noWrap/>
            <w:vAlign w:val="center"/>
          </w:tcPr>
          <w:p>
            <w:pPr>
              <w:widowControl/>
              <w:spacing w:line="320" w:lineRule="exact"/>
              <w:jc w:val="center"/>
              <w:rPr>
                <w:rFonts w:ascii="Calibri" w:hAnsi="Calibri" w:cs="宋体"/>
                <w:color w:val="000000"/>
                <w:kern w:val="0"/>
                <w:sz w:val="20"/>
                <w:szCs w:val="20"/>
              </w:rPr>
            </w:pPr>
            <w:r>
              <w:rPr>
                <w:rFonts w:ascii="Calibri" w:hAnsi="Calibri" w:cs="宋体"/>
                <w:color w:val="000000"/>
                <w:kern w:val="0"/>
                <w:sz w:val="20"/>
                <w:szCs w:val="20"/>
              </w:rPr>
              <w:t>0.0</w:t>
            </w:r>
          </w:p>
        </w:tc>
        <w:tc>
          <w:tcPr>
            <w:tcW w:w="716" w:type="dxa"/>
            <w:tcBorders>
              <w:top w:val="nil"/>
              <w:left w:val="nil"/>
              <w:bottom w:val="nil"/>
              <w:right w:val="nil"/>
            </w:tcBorders>
            <w:shd w:val="clear" w:color="000000" w:fill="BEEDF8"/>
            <w:noWrap/>
            <w:vAlign w:val="center"/>
          </w:tcPr>
          <w:p>
            <w:pPr>
              <w:widowControl/>
              <w:spacing w:line="320" w:lineRule="exact"/>
              <w:jc w:val="center"/>
              <w:rPr>
                <w:rFonts w:ascii="Calibri" w:hAnsi="Calibri" w:cs="宋体"/>
                <w:color w:val="000000"/>
                <w:kern w:val="0"/>
                <w:sz w:val="20"/>
                <w:szCs w:val="20"/>
              </w:rPr>
            </w:pPr>
            <w:r>
              <w:rPr>
                <w:rFonts w:ascii="Calibri" w:hAnsi="Calibri" w:cs="宋体"/>
                <w:color w:val="000000"/>
                <w:kern w:val="0"/>
                <w:sz w:val="20"/>
                <w:szCs w:val="20"/>
              </w:rPr>
              <w:t>0.0</w:t>
            </w:r>
          </w:p>
        </w:tc>
        <w:tc>
          <w:tcPr>
            <w:tcW w:w="716" w:type="dxa"/>
            <w:tcBorders>
              <w:top w:val="nil"/>
              <w:left w:val="nil"/>
              <w:bottom w:val="nil"/>
              <w:right w:val="nil"/>
            </w:tcBorders>
            <w:shd w:val="clear" w:color="000000" w:fill="BEEDF8"/>
            <w:noWrap/>
            <w:vAlign w:val="center"/>
          </w:tcPr>
          <w:p>
            <w:pPr>
              <w:widowControl/>
              <w:spacing w:line="320" w:lineRule="exact"/>
              <w:jc w:val="center"/>
              <w:rPr>
                <w:rFonts w:ascii="Calibri" w:hAnsi="Calibri" w:cs="宋体"/>
                <w:color w:val="000000"/>
                <w:kern w:val="0"/>
                <w:sz w:val="20"/>
                <w:szCs w:val="20"/>
              </w:rPr>
            </w:pPr>
            <w:r>
              <w:rPr>
                <w:rFonts w:ascii="Calibri" w:hAnsi="Calibri" w:cs="宋体"/>
                <w:color w:val="000000"/>
                <w:kern w:val="0"/>
                <w:sz w:val="20"/>
                <w:szCs w:val="20"/>
              </w:rPr>
              <w:t>0.0</w:t>
            </w:r>
          </w:p>
        </w:tc>
      </w:tr>
      <w:tr>
        <w:tblPrEx>
          <w:tblCellMar>
            <w:top w:w="0" w:type="dxa"/>
            <w:left w:w="108" w:type="dxa"/>
            <w:bottom w:w="0" w:type="dxa"/>
            <w:right w:w="108" w:type="dxa"/>
          </w:tblCellMar>
        </w:tblPrEx>
        <w:trPr>
          <w:trHeight w:val="270" w:hRule="atLeast"/>
          <w:jc w:val="center"/>
        </w:trPr>
        <w:tc>
          <w:tcPr>
            <w:tcW w:w="1734" w:type="dxa"/>
            <w:tcBorders>
              <w:top w:val="nil"/>
              <w:left w:val="nil"/>
              <w:bottom w:val="nil"/>
              <w:right w:val="nil"/>
            </w:tcBorders>
            <w:shd w:val="clear" w:color="000000" w:fill="FFFFFF"/>
            <w:noWrap/>
            <w:vAlign w:val="center"/>
          </w:tcPr>
          <w:p>
            <w:pPr>
              <w:widowControl/>
              <w:spacing w:line="320" w:lineRule="exact"/>
              <w:jc w:val="left"/>
              <w:rPr>
                <w:rFonts w:ascii="Calibri" w:hAnsi="Calibri" w:cs="宋体"/>
                <w:color w:val="000000"/>
                <w:kern w:val="0"/>
                <w:sz w:val="20"/>
                <w:szCs w:val="20"/>
              </w:rPr>
            </w:pPr>
            <w:r>
              <w:rPr>
                <w:rFonts w:ascii="Calibri" w:hAnsi="Calibri" w:cs="宋体"/>
                <w:color w:val="000000"/>
                <w:kern w:val="0"/>
                <w:sz w:val="20"/>
                <w:szCs w:val="20"/>
              </w:rPr>
              <w:t>应用韩语</w:t>
            </w:r>
          </w:p>
        </w:tc>
        <w:tc>
          <w:tcPr>
            <w:tcW w:w="715" w:type="dxa"/>
            <w:tcBorders>
              <w:top w:val="nil"/>
              <w:left w:val="nil"/>
              <w:bottom w:val="nil"/>
              <w:right w:val="nil"/>
            </w:tcBorders>
            <w:shd w:val="clear" w:color="000000" w:fill="FFFFFF"/>
            <w:noWrap/>
            <w:vAlign w:val="center"/>
          </w:tcPr>
          <w:p>
            <w:pPr>
              <w:widowControl/>
              <w:spacing w:line="320" w:lineRule="exact"/>
              <w:jc w:val="center"/>
              <w:rPr>
                <w:rFonts w:ascii="Calibri" w:hAnsi="Calibri" w:cs="宋体"/>
                <w:color w:val="000000"/>
                <w:kern w:val="0"/>
                <w:sz w:val="20"/>
                <w:szCs w:val="20"/>
              </w:rPr>
            </w:pPr>
            <w:r>
              <w:rPr>
                <w:rFonts w:ascii="Calibri" w:hAnsi="Calibri" w:cs="宋体"/>
                <w:color w:val="000000"/>
                <w:kern w:val="0"/>
                <w:sz w:val="20"/>
                <w:szCs w:val="20"/>
              </w:rPr>
              <w:t>32.8</w:t>
            </w:r>
          </w:p>
        </w:tc>
        <w:tc>
          <w:tcPr>
            <w:tcW w:w="716" w:type="dxa"/>
            <w:tcBorders>
              <w:top w:val="nil"/>
              <w:left w:val="nil"/>
              <w:bottom w:val="nil"/>
              <w:right w:val="nil"/>
            </w:tcBorders>
            <w:shd w:val="clear" w:color="000000" w:fill="FFFFFF"/>
            <w:noWrap/>
            <w:vAlign w:val="center"/>
          </w:tcPr>
          <w:p>
            <w:pPr>
              <w:widowControl/>
              <w:spacing w:line="320" w:lineRule="exact"/>
              <w:jc w:val="center"/>
              <w:rPr>
                <w:rFonts w:ascii="Calibri" w:hAnsi="Calibri" w:cs="宋体"/>
                <w:color w:val="000000"/>
                <w:kern w:val="0"/>
                <w:sz w:val="20"/>
                <w:szCs w:val="20"/>
              </w:rPr>
            </w:pPr>
            <w:r>
              <w:rPr>
                <w:rFonts w:ascii="Calibri" w:hAnsi="Calibri" w:cs="宋体"/>
                <w:color w:val="000000"/>
                <w:kern w:val="0"/>
                <w:sz w:val="20"/>
                <w:szCs w:val="20"/>
              </w:rPr>
              <w:t>8.2</w:t>
            </w:r>
          </w:p>
        </w:tc>
        <w:tc>
          <w:tcPr>
            <w:tcW w:w="715" w:type="dxa"/>
            <w:tcBorders>
              <w:top w:val="nil"/>
              <w:left w:val="nil"/>
              <w:bottom w:val="nil"/>
              <w:right w:val="nil"/>
            </w:tcBorders>
            <w:shd w:val="clear" w:color="000000" w:fill="FFFFFF"/>
            <w:noWrap/>
            <w:vAlign w:val="center"/>
          </w:tcPr>
          <w:p>
            <w:pPr>
              <w:widowControl/>
              <w:spacing w:line="320" w:lineRule="exact"/>
              <w:jc w:val="center"/>
              <w:rPr>
                <w:rFonts w:ascii="Calibri" w:hAnsi="Calibri" w:cs="宋体"/>
                <w:color w:val="000000"/>
                <w:kern w:val="0"/>
                <w:sz w:val="20"/>
                <w:szCs w:val="20"/>
              </w:rPr>
            </w:pPr>
            <w:r>
              <w:rPr>
                <w:rFonts w:ascii="Calibri" w:hAnsi="Calibri" w:cs="宋体"/>
                <w:color w:val="000000"/>
                <w:kern w:val="0"/>
                <w:sz w:val="20"/>
                <w:szCs w:val="20"/>
              </w:rPr>
              <w:t>1.6</w:t>
            </w:r>
          </w:p>
        </w:tc>
        <w:tc>
          <w:tcPr>
            <w:tcW w:w="716" w:type="dxa"/>
            <w:tcBorders>
              <w:top w:val="nil"/>
              <w:left w:val="nil"/>
              <w:bottom w:val="nil"/>
              <w:right w:val="nil"/>
            </w:tcBorders>
            <w:shd w:val="clear" w:color="000000" w:fill="FFFFFF"/>
            <w:noWrap/>
            <w:vAlign w:val="center"/>
          </w:tcPr>
          <w:p>
            <w:pPr>
              <w:widowControl/>
              <w:spacing w:line="320" w:lineRule="exact"/>
              <w:jc w:val="center"/>
              <w:rPr>
                <w:rFonts w:ascii="Calibri" w:hAnsi="Calibri" w:cs="宋体"/>
                <w:color w:val="000000"/>
                <w:kern w:val="0"/>
                <w:sz w:val="20"/>
                <w:szCs w:val="20"/>
              </w:rPr>
            </w:pPr>
            <w:r>
              <w:rPr>
                <w:rFonts w:ascii="Calibri" w:hAnsi="Calibri" w:cs="宋体"/>
                <w:color w:val="000000"/>
                <w:kern w:val="0"/>
                <w:sz w:val="20"/>
                <w:szCs w:val="20"/>
              </w:rPr>
              <w:t>8.2</w:t>
            </w:r>
          </w:p>
        </w:tc>
        <w:tc>
          <w:tcPr>
            <w:tcW w:w="716" w:type="dxa"/>
            <w:tcBorders>
              <w:top w:val="nil"/>
              <w:left w:val="nil"/>
              <w:bottom w:val="nil"/>
              <w:right w:val="nil"/>
            </w:tcBorders>
            <w:shd w:val="clear" w:color="000000" w:fill="FFFFFF"/>
            <w:noWrap/>
            <w:vAlign w:val="center"/>
          </w:tcPr>
          <w:p>
            <w:pPr>
              <w:widowControl/>
              <w:spacing w:line="320" w:lineRule="exact"/>
              <w:jc w:val="center"/>
              <w:rPr>
                <w:rFonts w:ascii="Calibri" w:hAnsi="Calibri" w:cs="宋体"/>
                <w:color w:val="000000"/>
                <w:kern w:val="0"/>
                <w:sz w:val="20"/>
                <w:szCs w:val="20"/>
              </w:rPr>
            </w:pPr>
            <w:r>
              <w:rPr>
                <w:rFonts w:ascii="Calibri" w:hAnsi="Calibri" w:cs="宋体"/>
                <w:color w:val="000000"/>
                <w:kern w:val="0"/>
                <w:sz w:val="20"/>
                <w:szCs w:val="20"/>
              </w:rPr>
              <w:t>37.7</w:t>
            </w:r>
          </w:p>
        </w:tc>
        <w:tc>
          <w:tcPr>
            <w:tcW w:w="715" w:type="dxa"/>
            <w:tcBorders>
              <w:top w:val="nil"/>
              <w:left w:val="nil"/>
              <w:bottom w:val="nil"/>
              <w:right w:val="nil"/>
            </w:tcBorders>
            <w:shd w:val="clear" w:color="000000" w:fill="FFFFFF"/>
            <w:noWrap/>
            <w:vAlign w:val="center"/>
          </w:tcPr>
          <w:p>
            <w:pPr>
              <w:widowControl/>
              <w:spacing w:line="320" w:lineRule="exact"/>
              <w:jc w:val="center"/>
              <w:rPr>
                <w:rFonts w:ascii="Calibri" w:hAnsi="Calibri" w:cs="宋体"/>
                <w:color w:val="000000"/>
                <w:kern w:val="0"/>
                <w:sz w:val="20"/>
                <w:szCs w:val="20"/>
              </w:rPr>
            </w:pPr>
            <w:r>
              <w:rPr>
                <w:rFonts w:ascii="Calibri" w:hAnsi="Calibri" w:cs="宋体"/>
                <w:color w:val="000000"/>
                <w:kern w:val="0"/>
                <w:sz w:val="20"/>
                <w:szCs w:val="20"/>
              </w:rPr>
              <w:t>0.0</w:t>
            </w:r>
          </w:p>
        </w:tc>
        <w:tc>
          <w:tcPr>
            <w:tcW w:w="716" w:type="dxa"/>
            <w:tcBorders>
              <w:top w:val="nil"/>
              <w:left w:val="nil"/>
              <w:bottom w:val="nil"/>
              <w:right w:val="nil"/>
            </w:tcBorders>
            <w:shd w:val="clear" w:color="000000" w:fill="FFFFFF"/>
            <w:noWrap/>
            <w:vAlign w:val="center"/>
          </w:tcPr>
          <w:p>
            <w:pPr>
              <w:widowControl/>
              <w:spacing w:line="320" w:lineRule="exact"/>
              <w:jc w:val="center"/>
              <w:rPr>
                <w:rFonts w:ascii="Calibri" w:hAnsi="Calibri" w:cs="宋体"/>
                <w:color w:val="000000"/>
                <w:kern w:val="0"/>
                <w:sz w:val="20"/>
                <w:szCs w:val="20"/>
              </w:rPr>
            </w:pPr>
            <w:r>
              <w:rPr>
                <w:rFonts w:ascii="Calibri" w:hAnsi="Calibri" w:cs="宋体"/>
                <w:color w:val="000000"/>
                <w:kern w:val="0"/>
                <w:sz w:val="20"/>
                <w:szCs w:val="20"/>
              </w:rPr>
              <w:t>0.0</w:t>
            </w:r>
          </w:p>
        </w:tc>
        <w:tc>
          <w:tcPr>
            <w:tcW w:w="715" w:type="dxa"/>
            <w:tcBorders>
              <w:top w:val="nil"/>
              <w:left w:val="nil"/>
              <w:bottom w:val="nil"/>
              <w:right w:val="nil"/>
            </w:tcBorders>
            <w:shd w:val="clear" w:color="000000" w:fill="FFFFFF"/>
            <w:noWrap/>
            <w:vAlign w:val="center"/>
          </w:tcPr>
          <w:p>
            <w:pPr>
              <w:widowControl/>
              <w:spacing w:line="320" w:lineRule="exact"/>
              <w:jc w:val="center"/>
              <w:rPr>
                <w:rFonts w:ascii="Calibri" w:hAnsi="Calibri" w:cs="宋体"/>
                <w:color w:val="000000"/>
                <w:kern w:val="0"/>
                <w:sz w:val="20"/>
                <w:szCs w:val="20"/>
              </w:rPr>
            </w:pPr>
            <w:r>
              <w:rPr>
                <w:rFonts w:ascii="Calibri" w:hAnsi="Calibri" w:cs="宋体"/>
                <w:color w:val="000000"/>
                <w:kern w:val="0"/>
                <w:sz w:val="20"/>
                <w:szCs w:val="20"/>
              </w:rPr>
              <w:t>0.0</w:t>
            </w:r>
          </w:p>
        </w:tc>
        <w:tc>
          <w:tcPr>
            <w:tcW w:w="716" w:type="dxa"/>
            <w:tcBorders>
              <w:top w:val="nil"/>
              <w:left w:val="nil"/>
              <w:bottom w:val="nil"/>
              <w:right w:val="nil"/>
            </w:tcBorders>
            <w:shd w:val="clear" w:color="000000" w:fill="FFFFFF"/>
            <w:noWrap/>
            <w:vAlign w:val="center"/>
          </w:tcPr>
          <w:p>
            <w:pPr>
              <w:widowControl/>
              <w:spacing w:line="320" w:lineRule="exact"/>
              <w:jc w:val="center"/>
              <w:rPr>
                <w:rFonts w:ascii="Calibri" w:hAnsi="Calibri" w:cs="宋体"/>
                <w:color w:val="000000"/>
                <w:kern w:val="0"/>
                <w:sz w:val="20"/>
                <w:szCs w:val="20"/>
              </w:rPr>
            </w:pPr>
            <w:r>
              <w:rPr>
                <w:rFonts w:ascii="Calibri" w:hAnsi="Calibri" w:cs="宋体"/>
                <w:color w:val="000000"/>
                <w:kern w:val="0"/>
                <w:sz w:val="20"/>
                <w:szCs w:val="20"/>
              </w:rPr>
              <w:t>0.0</w:t>
            </w:r>
          </w:p>
        </w:tc>
        <w:tc>
          <w:tcPr>
            <w:tcW w:w="716" w:type="dxa"/>
            <w:tcBorders>
              <w:top w:val="nil"/>
              <w:left w:val="nil"/>
              <w:bottom w:val="nil"/>
              <w:right w:val="nil"/>
            </w:tcBorders>
            <w:shd w:val="clear" w:color="000000" w:fill="FFFFFF"/>
            <w:noWrap/>
            <w:vAlign w:val="center"/>
          </w:tcPr>
          <w:p>
            <w:pPr>
              <w:widowControl/>
              <w:spacing w:line="320" w:lineRule="exact"/>
              <w:jc w:val="center"/>
              <w:rPr>
                <w:rFonts w:ascii="Calibri" w:hAnsi="Calibri" w:cs="宋体"/>
                <w:color w:val="000000"/>
                <w:kern w:val="0"/>
                <w:sz w:val="20"/>
                <w:szCs w:val="20"/>
              </w:rPr>
            </w:pPr>
            <w:r>
              <w:rPr>
                <w:rFonts w:ascii="Calibri" w:hAnsi="Calibri" w:cs="宋体"/>
                <w:color w:val="000000"/>
                <w:kern w:val="0"/>
                <w:sz w:val="20"/>
                <w:szCs w:val="20"/>
              </w:rPr>
              <w:t>11.5</w:t>
            </w:r>
          </w:p>
        </w:tc>
      </w:tr>
      <w:tr>
        <w:tblPrEx>
          <w:tblCellMar>
            <w:top w:w="0" w:type="dxa"/>
            <w:left w:w="108" w:type="dxa"/>
            <w:bottom w:w="0" w:type="dxa"/>
            <w:right w:w="108" w:type="dxa"/>
          </w:tblCellMar>
        </w:tblPrEx>
        <w:trPr>
          <w:trHeight w:val="270" w:hRule="atLeast"/>
          <w:jc w:val="center"/>
        </w:trPr>
        <w:tc>
          <w:tcPr>
            <w:tcW w:w="1734" w:type="dxa"/>
            <w:tcBorders>
              <w:top w:val="nil"/>
              <w:left w:val="nil"/>
              <w:bottom w:val="nil"/>
              <w:right w:val="nil"/>
            </w:tcBorders>
            <w:shd w:val="clear" w:color="000000" w:fill="BEEDF8"/>
            <w:noWrap/>
            <w:vAlign w:val="center"/>
          </w:tcPr>
          <w:p>
            <w:pPr>
              <w:widowControl/>
              <w:spacing w:line="320" w:lineRule="exact"/>
              <w:jc w:val="left"/>
              <w:rPr>
                <w:rFonts w:ascii="Calibri" w:hAnsi="Calibri" w:cs="宋体"/>
                <w:color w:val="000000"/>
                <w:kern w:val="0"/>
                <w:sz w:val="20"/>
                <w:szCs w:val="20"/>
              </w:rPr>
            </w:pPr>
            <w:r>
              <w:rPr>
                <w:rFonts w:ascii="Calibri" w:hAnsi="Calibri" w:cs="宋体"/>
                <w:color w:val="000000"/>
                <w:kern w:val="0"/>
                <w:sz w:val="20"/>
                <w:szCs w:val="20"/>
              </w:rPr>
              <w:t>商务英语（外贸业务）</w:t>
            </w:r>
          </w:p>
        </w:tc>
        <w:tc>
          <w:tcPr>
            <w:tcW w:w="715" w:type="dxa"/>
            <w:tcBorders>
              <w:top w:val="nil"/>
              <w:left w:val="nil"/>
              <w:bottom w:val="nil"/>
              <w:right w:val="nil"/>
            </w:tcBorders>
            <w:shd w:val="clear" w:color="000000" w:fill="BEEDF8"/>
            <w:noWrap/>
            <w:vAlign w:val="center"/>
          </w:tcPr>
          <w:p>
            <w:pPr>
              <w:widowControl/>
              <w:spacing w:line="320" w:lineRule="exact"/>
              <w:jc w:val="center"/>
              <w:rPr>
                <w:rFonts w:ascii="Calibri" w:hAnsi="Calibri" w:cs="宋体"/>
                <w:color w:val="000000"/>
                <w:kern w:val="0"/>
                <w:sz w:val="20"/>
                <w:szCs w:val="20"/>
              </w:rPr>
            </w:pPr>
            <w:r>
              <w:rPr>
                <w:rFonts w:ascii="Calibri" w:hAnsi="Calibri" w:cs="宋体"/>
                <w:color w:val="000000"/>
                <w:kern w:val="0"/>
                <w:sz w:val="20"/>
                <w:szCs w:val="20"/>
              </w:rPr>
              <w:t>31.3</w:t>
            </w:r>
          </w:p>
        </w:tc>
        <w:tc>
          <w:tcPr>
            <w:tcW w:w="716" w:type="dxa"/>
            <w:tcBorders>
              <w:top w:val="nil"/>
              <w:left w:val="nil"/>
              <w:bottom w:val="nil"/>
              <w:right w:val="nil"/>
            </w:tcBorders>
            <w:shd w:val="clear" w:color="000000" w:fill="BEEDF8"/>
            <w:noWrap/>
            <w:vAlign w:val="center"/>
          </w:tcPr>
          <w:p>
            <w:pPr>
              <w:widowControl/>
              <w:spacing w:line="320" w:lineRule="exact"/>
              <w:jc w:val="center"/>
              <w:rPr>
                <w:rFonts w:ascii="Calibri" w:hAnsi="Calibri" w:cs="宋体"/>
                <w:color w:val="000000"/>
                <w:kern w:val="0"/>
                <w:sz w:val="20"/>
                <w:szCs w:val="20"/>
              </w:rPr>
            </w:pPr>
            <w:r>
              <w:rPr>
                <w:rFonts w:ascii="Calibri" w:hAnsi="Calibri" w:cs="宋体"/>
                <w:color w:val="000000"/>
                <w:kern w:val="0"/>
                <w:sz w:val="20"/>
                <w:szCs w:val="20"/>
              </w:rPr>
              <w:t>9.6</w:t>
            </w:r>
          </w:p>
        </w:tc>
        <w:tc>
          <w:tcPr>
            <w:tcW w:w="715" w:type="dxa"/>
            <w:tcBorders>
              <w:top w:val="nil"/>
              <w:left w:val="nil"/>
              <w:bottom w:val="nil"/>
              <w:right w:val="nil"/>
            </w:tcBorders>
            <w:shd w:val="clear" w:color="000000" w:fill="BEEDF8"/>
            <w:noWrap/>
            <w:vAlign w:val="center"/>
          </w:tcPr>
          <w:p>
            <w:pPr>
              <w:widowControl/>
              <w:spacing w:line="320" w:lineRule="exact"/>
              <w:jc w:val="center"/>
              <w:rPr>
                <w:rFonts w:ascii="Calibri" w:hAnsi="Calibri" w:cs="宋体"/>
                <w:color w:val="000000"/>
                <w:kern w:val="0"/>
                <w:sz w:val="20"/>
                <w:szCs w:val="20"/>
              </w:rPr>
            </w:pPr>
            <w:r>
              <w:rPr>
                <w:rFonts w:ascii="Calibri" w:hAnsi="Calibri" w:cs="宋体"/>
                <w:color w:val="000000"/>
                <w:kern w:val="0"/>
                <w:sz w:val="20"/>
                <w:szCs w:val="20"/>
              </w:rPr>
              <w:t>11.3</w:t>
            </w:r>
          </w:p>
        </w:tc>
        <w:tc>
          <w:tcPr>
            <w:tcW w:w="716" w:type="dxa"/>
            <w:tcBorders>
              <w:top w:val="nil"/>
              <w:left w:val="nil"/>
              <w:bottom w:val="nil"/>
              <w:right w:val="nil"/>
            </w:tcBorders>
            <w:shd w:val="clear" w:color="000000" w:fill="BEEDF8"/>
            <w:noWrap/>
            <w:vAlign w:val="center"/>
          </w:tcPr>
          <w:p>
            <w:pPr>
              <w:widowControl/>
              <w:spacing w:line="320" w:lineRule="exact"/>
              <w:jc w:val="center"/>
              <w:rPr>
                <w:rFonts w:ascii="Calibri" w:hAnsi="Calibri" w:cs="宋体"/>
                <w:color w:val="000000"/>
                <w:kern w:val="0"/>
                <w:sz w:val="20"/>
                <w:szCs w:val="20"/>
              </w:rPr>
            </w:pPr>
            <w:r>
              <w:rPr>
                <w:rFonts w:ascii="Calibri" w:hAnsi="Calibri" w:cs="宋体"/>
                <w:color w:val="000000"/>
                <w:kern w:val="0"/>
                <w:sz w:val="20"/>
                <w:szCs w:val="20"/>
              </w:rPr>
              <w:t>47.8</w:t>
            </w:r>
          </w:p>
        </w:tc>
        <w:tc>
          <w:tcPr>
            <w:tcW w:w="716" w:type="dxa"/>
            <w:tcBorders>
              <w:top w:val="nil"/>
              <w:left w:val="nil"/>
              <w:bottom w:val="nil"/>
              <w:right w:val="nil"/>
            </w:tcBorders>
            <w:shd w:val="clear" w:color="000000" w:fill="BEEDF8"/>
            <w:noWrap/>
            <w:vAlign w:val="center"/>
          </w:tcPr>
          <w:p>
            <w:pPr>
              <w:widowControl/>
              <w:spacing w:line="320" w:lineRule="exact"/>
              <w:jc w:val="center"/>
              <w:rPr>
                <w:rFonts w:ascii="Calibri" w:hAnsi="Calibri" w:cs="宋体"/>
                <w:color w:val="000000"/>
                <w:kern w:val="0"/>
                <w:sz w:val="20"/>
                <w:szCs w:val="20"/>
              </w:rPr>
            </w:pPr>
            <w:r>
              <w:rPr>
                <w:rFonts w:ascii="Calibri" w:hAnsi="Calibri" w:cs="宋体"/>
                <w:color w:val="000000"/>
                <w:kern w:val="0"/>
                <w:sz w:val="20"/>
                <w:szCs w:val="20"/>
              </w:rPr>
              <w:t>0.0</w:t>
            </w:r>
          </w:p>
        </w:tc>
        <w:tc>
          <w:tcPr>
            <w:tcW w:w="715" w:type="dxa"/>
            <w:tcBorders>
              <w:top w:val="nil"/>
              <w:left w:val="nil"/>
              <w:bottom w:val="nil"/>
              <w:right w:val="nil"/>
            </w:tcBorders>
            <w:shd w:val="clear" w:color="000000" w:fill="BEEDF8"/>
            <w:noWrap/>
            <w:vAlign w:val="center"/>
          </w:tcPr>
          <w:p>
            <w:pPr>
              <w:widowControl/>
              <w:spacing w:line="320" w:lineRule="exact"/>
              <w:jc w:val="center"/>
              <w:rPr>
                <w:rFonts w:ascii="Calibri" w:hAnsi="Calibri" w:cs="宋体"/>
                <w:color w:val="000000"/>
                <w:kern w:val="0"/>
                <w:sz w:val="20"/>
                <w:szCs w:val="20"/>
              </w:rPr>
            </w:pPr>
            <w:r>
              <w:rPr>
                <w:rFonts w:ascii="Calibri" w:hAnsi="Calibri" w:cs="宋体"/>
                <w:color w:val="000000"/>
                <w:kern w:val="0"/>
                <w:sz w:val="20"/>
                <w:szCs w:val="20"/>
              </w:rPr>
              <w:t>0.0</w:t>
            </w:r>
          </w:p>
        </w:tc>
        <w:tc>
          <w:tcPr>
            <w:tcW w:w="716" w:type="dxa"/>
            <w:tcBorders>
              <w:top w:val="nil"/>
              <w:left w:val="nil"/>
              <w:bottom w:val="nil"/>
              <w:right w:val="nil"/>
            </w:tcBorders>
            <w:shd w:val="clear" w:color="000000" w:fill="BEEDF8"/>
            <w:noWrap/>
            <w:vAlign w:val="center"/>
          </w:tcPr>
          <w:p>
            <w:pPr>
              <w:widowControl/>
              <w:spacing w:line="320" w:lineRule="exact"/>
              <w:jc w:val="center"/>
              <w:rPr>
                <w:rFonts w:ascii="Calibri" w:hAnsi="Calibri" w:cs="宋体"/>
                <w:color w:val="000000"/>
                <w:kern w:val="0"/>
                <w:sz w:val="20"/>
                <w:szCs w:val="20"/>
              </w:rPr>
            </w:pPr>
            <w:r>
              <w:rPr>
                <w:rFonts w:ascii="Calibri" w:hAnsi="Calibri" w:cs="宋体"/>
                <w:color w:val="000000"/>
                <w:kern w:val="0"/>
                <w:sz w:val="20"/>
                <w:szCs w:val="20"/>
              </w:rPr>
              <w:t>0.0</w:t>
            </w:r>
          </w:p>
        </w:tc>
        <w:tc>
          <w:tcPr>
            <w:tcW w:w="715" w:type="dxa"/>
            <w:tcBorders>
              <w:top w:val="nil"/>
              <w:left w:val="nil"/>
              <w:bottom w:val="nil"/>
              <w:right w:val="nil"/>
            </w:tcBorders>
            <w:shd w:val="clear" w:color="000000" w:fill="BEEDF8"/>
            <w:noWrap/>
            <w:vAlign w:val="center"/>
          </w:tcPr>
          <w:p>
            <w:pPr>
              <w:widowControl/>
              <w:spacing w:line="320" w:lineRule="exact"/>
              <w:jc w:val="center"/>
              <w:rPr>
                <w:rFonts w:ascii="Calibri" w:hAnsi="Calibri" w:cs="宋体"/>
                <w:color w:val="000000"/>
                <w:kern w:val="0"/>
                <w:sz w:val="20"/>
                <w:szCs w:val="20"/>
              </w:rPr>
            </w:pPr>
            <w:r>
              <w:rPr>
                <w:rFonts w:ascii="Calibri" w:hAnsi="Calibri" w:cs="宋体"/>
                <w:color w:val="000000"/>
                <w:kern w:val="0"/>
                <w:sz w:val="20"/>
                <w:szCs w:val="20"/>
              </w:rPr>
              <w:t>0.0</w:t>
            </w:r>
          </w:p>
        </w:tc>
        <w:tc>
          <w:tcPr>
            <w:tcW w:w="716" w:type="dxa"/>
            <w:tcBorders>
              <w:top w:val="nil"/>
              <w:left w:val="nil"/>
              <w:bottom w:val="nil"/>
              <w:right w:val="nil"/>
            </w:tcBorders>
            <w:shd w:val="clear" w:color="000000" w:fill="BEEDF8"/>
            <w:noWrap/>
            <w:vAlign w:val="center"/>
          </w:tcPr>
          <w:p>
            <w:pPr>
              <w:widowControl/>
              <w:spacing w:line="320" w:lineRule="exact"/>
              <w:jc w:val="center"/>
              <w:rPr>
                <w:rFonts w:ascii="Calibri" w:hAnsi="Calibri" w:cs="宋体"/>
                <w:color w:val="000000"/>
                <w:kern w:val="0"/>
                <w:sz w:val="20"/>
                <w:szCs w:val="20"/>
              </w:rPr>
            </w:pPr>
            <w:r>
              <w:rPr>
                <w:rFonts w:ascii="Calibri" w:hAnsi="Calibri" w:cs="宋体"/>
                <w:color w:val="000000"/>
                <w:kern w:val="0"/>
                <w:sz w:val="20"/>
                <w:szCs w:val="20"/>
              </w:rPr>
              <w:t>0.0</w:t>
            </w:r>
          </w:p>
        </w:tc>
        <w:tc>
          <w:tcPr>
            <w:tcW w:w="716" w:type="dxa"/>
            <w:tcBorders>
              <w:top w:val="nil"/>
              <w:left w:val="nil"/>
              <w:bottom w:val="nil"/>
              <w:right w:val="nil"/>
            </w:tcBorders>
            <w:shd w:val="clear" w:color="000000" w:fill="BEEDF8"/>
            <w:noWrap/>
            <w:vAlign w:val="center"/>
          </w:tcPr>
          <w:p>
            <w:pPr>
              <w:widowControl/>
              <w:spacing w:line="320" w:lineRule="exact"/>
              <w:jc w:val="center"/>
              <w:rPr>
                <w:rFonts w:ascii="Calibri" w:hAnsi="Calibri" w:cs="宋体"/>
                <w:color w:val="000000"/>
                <w:kern w:val="0"/>
                <w:sz w:val="20"/>
                <w:szCs w:val="20"/>
              </w:rPr>
            </w:pPr>
            <w:r>
              <w:rPr>
                <w:rFonts w:ascii="Calibri" w:hAnsi="Calibri" w:cs="宋体"/>
                <w:color w:val="000000"/>
                <w:kern w:val="0"/>
                <w:sz w:val="20"/>
                <w:szCs w:val="20"/>
              </w:rPr>
              <w:t>0.0</w:t>
            </w:r>
          </w:p>
        </w:tc>
      </w:tr>
      <w:tr>
        <w:tblPrEx>
          <w:tblCellMar>
            <w:top w:w="0" w:type="dxa"/>
            <w:left w:w="108" w:type="dxa"/>
            <w:bottom w:w="0" w:type="dxa"/>
            <w:right w:w="108" w:type="dxa"/>
          </w:tblCellMar>
        </w:tblPrEx>
        <w:trPr>
          <w:trHeight w:val="270" w:hRule="atLeast"/>
          <w:jc w:val="center"/>
        </w:trPr>
        <w:tc>
          <w:tcPr>
            <w:tcW w:w="1734" w:type="dxa"/>
            <w:tcBorders>
              <w:top w:val="nil"/>
              <w:left w:val="nil"/>
              <w:bottom w:val="nil"/>
              <w:right w:val="nil"/>
            </w:tcBorders>
            <w:shd w:val="clear" w:color="000000" w:fill="FFFFFF"/>
            <w:noWrap/>
            <w:vAlign w:val="center"/>
          </w:tcPr>
          <w:p>
            <w:pPr>
              <w:widowControl/>
              <w:spacing w:line="320" w:lineRule="exact"/>
              <w:jc w:val="left"/>
              <w:rPr>
                <w:rFonts w:ascii="Calibri" w:hAnsi="Calibri" w:cs="宋体"/>
                <w:color w:val="000000"/>
                <w:kern w:val="0"/>
                <w:sz w:val="20"/>
                <w:szCs w:val="20"/>
              </w:rPr>
            </w:pPr>
            <w:r>
              <w:rPr>
                <w:rFonts w:ascii="Calibri" w:hAnsi="Calibri" w:cs="宋体"/>
                <w:color w:val="000000"/>
                <w:kern w:val="0"/>
                <w:sz w:val="20"/>
                <w:szCs w:val="20"/>
              </w:rPr>
              <w:t>商务英语（国际物流）</w:t>
            </w:r>
          </w:p>
        </w:tc>
        <w:tc>
          <w:tcPr>
            <w:tcW w:w="715" w:type="dxa"/>
            <w:tcBorders>
              <w:top w:val="nil"/>
              <w:left w:val="nil"/>
              <w:bottom w:val="nil"/>
              <w:right w:val="nil"/>
            </w:tcBorders>
            <w:shd w:val="clear" w:color="000000" w:fill="FFFFFF"/>
            <w:noWrap/>
            <w:vAlign w:val="center"/>
          </w:tcPr>
          <w:p>
            <w:pPr>
              <w:widowControl/>
              <w:spacing w:line="320" w:lineRule="exact"/>
              <w:jc w:val="center"/>
              <w:rPr>
                <w:rFonts w:ascii="Calibri" w:hAnsi="Calibri" w:cs="宋体"/>
                <w:color w:val="000000"/>
                <w:kern w:val="0"/>
                <w:sz w:val="20"/>
                <w:szCs w:val="20"/>
              </w:rPr>
            </w:pPr>
            <w:r>
              <w:rPr>
                <w:rFonts w:ascii="Calibri" w:hAnsi="Calibri" w:cs="宋体"/>
                <w:color w:val="000000"/>
                <w:kern w:val="0"/>
                <w:sz w:val="20"/>
                <w:szCs w:val="20"/>
              </w:rPr>
              <w:t>28.0</w:t>
            </w:r>
          </w:p>
        </w:tc>
        <w:tc>
          <w:tcPr>
            <w:tcW w:w="716" w:type="dxa"/>
            <w:tcBorders>
              <w:top w:val="nil"/>
              <w:left w:val="nil"/>
              <w:bottom w:val="nil"/>
              <w:right w:val="nil"/>
            </w:tcBorders>
            <w:shd w:val="clear" w:color="000000" w:fill="FFFFFF"/>
            <w:noWrap/>
            <w:vAlign w:val="center"/>
          </w:tcPr>
          <w:p>
            <w:pPr>
              <w:widowControl/>
              <w:spacing w:line="320" w:lineRule="exact"/>
              <w:jc w:val="center"/>
              <w:rPr>
                <w:rFonts w:ascii="Calibri" w:hAnsi="Calibri" w:cs="宋体"/>
                <w:color w:val="000000"/>
                <w:kern w:val="0"/>
                <w:sz w:val="20"/>
                <w:szCs w:val="20"/>
              </w:rPr>
            </w:pPr>
            <w:r>
              <w:rPr>
                <w:rFonts w:ascii="Calibri" w:hAnsi="Calibri" w:cs="宋体"/>
                <w:color w:val="000000"/>
                <w:kern w:val="0"/>
                <w:sz w:val="20"/>
                <w:szCs w:val="20"/>
              </w:rPr>
              <w:t>12.0</w:t>
            </w:r>
          </w:p>
        </w:tc>
        <w:tc>
          <w:tcPr>
            <w:tcW w:w="715" w:type="dxa"/>
            <w:tcBorders>
              <w:top w:val="nil"/>
              <w:left w:val="nil"/>
              <w:bottom w:val="nil"/>
              <w:right w:val="nil"/>
            </w:tcBorders>
            <w:shd w:val="clear" w:color="000000" w:fill="FFFFFF"/>
            <w:noWrap/>
            <w:vAlign w:val="center"/>
          </w:tcPr>
          <w:p>
            <w:pPr>
              <w:widowControl/>
              <w:spacing w:line="320" w:lineRule="exact"/>
              <w:jc w:val="center"/>
              <w:rPr>
                <w:rFonts w:ascii="Calibri" w:hAnsi="Calibri" w:cs="宋体"/>
                <w:color w:val="000000"/>
                <w:kern w:val="0"/>
                <w:sz w:val="20"/>
                <w:szCs w:val="20"/>
              </w:rPr>
            </w:pPr>
            <w:r>
              <w:rPr>
                <w:rFonts w:ascii="Calibri" w:hAnsi="Calibri" w:cs="宋体"/>
                <w:color w:val="000000"/>
                <w:kern w:val="0"/>
                <w:sz w:val="20"/>
                <w:szCs w:val="20"/>
              </w:rPr>
              <w:t>12.0</w:t>
            </w:r>
          </w:p>
        </w:tc>
        <w:tc>
          <w:tcPr>
            <w:tcW w:w="716" w:type="dxa"/>
            <w:tcBorders>
              <w:top w:val="nil"/>
              <w:left w:val="nil"/>
              <w:bottom w:val="nil"/>
              <w:right w:val="nil"/>
            </w:tcBorders>
            <w:shd w:val="clear" w:color="000000" w:fill="FFFFFF"/>
            <w:noWrap/>
            <w:vAlign w:val="center"/>
          </w:tcPr>
          <w:p>
            <w:pPr>
              <w:widowControl/>
              <w:spacing w:line="320" w:lineRule="exact"/>
              <w:jc w:val="center"/>
              <w:rPr>
                <w:rFonts w:ascii="Calibri" w:hAnsi="Calibri" w:cs="宋体"/>
                <w:color w:val="000000"/>
                <w:kern w:val="0"/>
                <w:sz w:val="20"/>
                <w:szCs w:val="20"/>
              </w:rPr>
            </w:pPr>
            <w:r>
              <w:rPr>
                <w:rFonts w:ascii="Calibri" w:hAnsi="Calibri" w:cs="宋体"/>
                <w:color w:val="000000"/>
                <w:kern w:val="0"/>
                <w:sz w:val="20"/>
                <w:szCs w:val="20"/>
              </w:rPr>
              <w:t>44.0</w:t>
            </w:r>
          </w:p>
        </w:tc>
        <w:tc>
          <w:tcPr>
            <w:tcW w:w="716" w:type="dxa"/>
            <w:tcBorders>
              <w:top w:val="nil"/>
              <w:left w:val="nil"/>
              <w:bottom w:val="nil"/>
              <w:right w:val="nil"/>
            </w:tcBorders>
            <w:shd w:val="clear" w:color="000000" w:fill="FFFFFF"/>
            <w:noWrap/>
            <w:vAlign w:val="center"/>
          </w:tcPr>
          <w:p>
            <w:pPr>
              <w:widowControl/>
              <w:spacing w:line="320" w:lineRule="exact"/>
              <w:jc w:val="center"/>
              <w:rPr>
                <w:rFonts w:ascii="Calibri" w:hAnsi="Calibri" w:cs="宋体"/>
                <w:color w:val="000000"/>
                <w:kern w:val="0"/>
                <w:sz w:val="20"/>
                <w:szCs w:val="20"/>
              </w:rPr>
            </w:pPr>
            <w:r>
              <w:rPr>
                <w:rFonts w:ascii="Calibri" w:hAnsi="Calibri" w:cs="宋体"/>
                <w:color w:val="000000"/>
                <w:kern w:val="0"/>
                <w:sz w:val="20"/>
                <w:szCs w:val="20"/>
              </w:rPr>
              <w:t>0.0</w:t>
            </w:r>
          </w:p>
        </w:tc>
        <w:tc>
          <w:tcPr>
            <w:tcW w:w="715" w:type="dxa"/>
            <w:tcBorders>
              <w:top w:val="nil"/>
              <w:left w:val="nil"/>
              <w:bottom w:val="nil"/>
              <w:right w:val="nil"/>
            </w:tcBorders>
            <w:shd w:val="clear" w:color="000000" w:fill="FFFFFF"/>
            <w:noWrap/>
            <w:vAlign w:val="center"/>
          </w:tcPr>
          <w:p>
            <w:pPr>
              <w:widowControl/>
              <w:spacing w:line="320" w:lineRule="exact"/>
              <w:jc w:val="center"/>
              <w:rPr>
                <w:rFonts w:ascii="Calibri" w:hAnsi="Calibri" w:cs="宋体"/>
                <w:color w:val="000000"/>
                <w:kern w:val="0"/>
                <w:sz w:val="20"/>
                <w:szCs w:val="20"/>
              </w:rPr>
            </w:pPr>
            <w:r>
              <w:rPr>
                <w:rFonts w:ascii="Calibri" w:hAnsi="Calibri" w:cs="宋体"/>
                <w:color w:val="000000"/>
                <w:kern w:val="0"/>
                <w:sz w:val="20"/>
                <w:szCs w:val="20"/>
              </w:rPr>
              <w:t>0.0</w:t>
            </w:r>
          </w:p>
        </w:tc>
        <w:tc>
          <w:tcPr>
            <w:tcW w:w="716" w:type="dxa"/>
            <w:tcBorders>
              <w:top w:val="nil"/>
              <w:left w:val="nil"/>
              <w:bottom w:val="nil"/>
              <w:right w:val="nil"/>
            </w:tcBorders>
            <w:shd w:val="clear" w:color="000000" w:fill="FFFFFF"/>
            <w:noWrap/>
            <w:vAlign w:val="center"/>
          </w:tcPr>
          <w:p>
            <w:pPr>
              <w:widowControl/>
              <w:spacing w:line="320" w:lineRule="exact"/>
              <w:jc w:val="center"/>
              <w:rPr>
                <w:rFonts w:ascii="Calibri" w:hAnsi="Calibri" w:cs="宋体"/>
                <w:color w:val="000000"/>
                <w:kern w:val="0"/>
                <w:sz w:val="20"/>
                <w:szCs w:val="20"/>
              </w:rPr>
            </w:pPr>
            <w:r>
              <w:rPr>
                <w:rFonts w:ascii="Calibri" w:hAnsi="Calibri" w:cs="宋体"/>
                <w:color w:val="000000"/>
                <w:kern w:val="0"/>
                <w:sz w:val="20"/>
                <w:szCs w:val="20"/>
              </w:rPr>
              <w:t>0.0</w:t>
            </w:r>
          </w:p>
        </w:tc>
        <w:tc>
          <w:tcPr>
            <w:tcW w:w="715" w:type="dxa"/>
            <w:tcBorders>
              <w:top w:val="nil"/>
              <w:left w:val="nil"/>
              <w:bottom w:val="nil"/>
              <w:right w:val="nil"/>
            </w:tcBorders>
            <w:shd w:val="clear" w:color="000000" w:fill="FFFFFF"/>
            <w:noWrap/>
            <w:vAlign w:val="center"/>
          </w:tcPr>
          <w:p>
            <w:pPr>
              <w:widowControl/>
              <w:spacing w:line="320" w:lineRule="exact"/>
              <w:jc w:val="center"/>
              <w:rPr>
                <w:rFonts w:ascii="Calibri" w:hAnsi="Calibri" w:cs="宋体"/>
                <w:color w:val="000000"/>
                <w:kern w:val="0"/>
                <w:sz w:val="20"/>
                <w:szCs w:val="20"/>
              </w:rPr>
            </w:pPr>
            <w:r>
              <w:rPr>
                <w:rFonts w:ascii="Calibri" w:hAnsi="Calibri" w:cs="宋体"/>
                <w:color w:val="000000"/>
                <w:kern w:val="0"/>
                <w:sz w:val="20"/>
                <w:szCs w:val="20"/>
              </w:rPr>
              <w:t>0.0</w:t>
            </w:r>
          </w:p>
        </w:tc>
        <w:tc>
          <w:tcPr>
            <w:tcW w:w="716" w:type="dxa"/>
            <w:tcBorders>
              <w:top w:val="nil"/>
              <w:left w:val="nil"/>
              <w:bottom w:val="nil"/>
              <w:right w:val="nil"/>
            </w:tcBorders>
            <w:shd w:val="clear" w:color="000000" w:fill="FFFFFF"/>
            <w:noWrap/>
            <w:vAlign w:val="center"/>
          </w:tcPr>
          <w:p>
            <w:pPr>
              <w:widowControl/>
              <w:spacing w:line="320" w:lineRule="exact"/>
              <w:jc w:val="center"/>
              <w:rPr>
                <w:rFonts w:ascii="Calibri" w:hAnsi="Calibri" w:cs="宋体"/>
                <w:color w:val="000000"/>
                <w:kern w:val="0"/>
                <w:sz w:val="20"/>
                <w:szCs w:val="20"/>
              </w:rPr>
            </w:pPr>
            <w:r>
              <w:rPr>
                <w:rFonts w:ascii="Calibri" w:hAnsi="Calibri" w:cs="宋体"/>
                <w:color w:val="000000"/>
                <w:kern w:val="0"/>
                <w:sz w:val="20"/>
                <w:szCs w:val="20"/>
              </w:rPr>
              <w:t>0.0</w:t>
            </w:r>
          </w:p>
        </w:tc>
        <w:tc>
          <w:tcPr>
            <w:tcW w:w="716" w:type="dxa"/>
            <w:tcBorders>
              <w:top w:val="nil"/>
              <w:left w:val="nil"/>
              <w:bottom w:val="nil"/>
              <w:right w:val="nil"/>
            </w:tcBorders>
            <w:shd w:val="clear" w:color="000000" w:fill="FFFFFF"/>
            <w:noWrap/>
            <w:vAlign w:val="center"/>
          </w:tcPr>
          <w:p>
            <w:pPr>
              <w:widowControl/>
              <w:spacing w:line="320" w:lineRule="exact"/>
              <w:jc w:val="center"/>
              <w:rPr>
                <w:rFonts w:ascii="Calibri" w:hAnsi="Calibri" w:cs="宋体"/>
                <w:color w:val="000000"/>
                <w:kern w:val="0"/>
                <w:sz w:val="20"/>
                <w:szCs w:val="20"/>
              </w:rPr>
            </w:pPr>
            <w:r>
              <w:rPr>
                <w:rFonts w:ascii="Calibri" w:hAnsi="Calibri" w:cs="宋体"/>
                <w:color w:val="000000"/>
                <w:kern w:val="0"/>
                <w:sz w:val="20"/>
                <w:szCs w:val="20"/>
              </w:rPr>
              <w:t>4.0</w:t>
            </w:r>
          </w:p>
        </w:tc>
      </w:tr>
      <w:tr>
        <w:tblPrEx>
          <w:tblCellMar>
            <w:top w:w="0" w:type="dxa"/>
            <w:left w:w="108" w:type="dxa"/>
            <w:bottom w:w="0" w:type="dxa"/>
            <w:right w:w="108" w:type="dxa"/>
          </w:tblCellMar>
        </w:tblPrEx>
        <w:trPr>
          <w:trHeight w:val="270" w:hRule="atLeast"/>
          <w:jc w:val="center"/>
        </w:trPr>
        <w:tc>
          <w:tcPr>
            <w:tcW w:w="1734" w:type="dxa"/>
            <w:tcBorders>
              <w:top w:val="nil"/>
              <w:left w:val="nil"/>
              <w:bottom w:val="nil"/>
              <w:right w:val="nil"/>
            </w:tcBorders>
            <w:shd w:val="clear" w:color="000000" w:fill="BEEDF8"/>
            <w:noWrap/>
            <w:vAlign w:val="center"/>
          </w:tcPr>
          <w:p>
            <w:pPr>
              <w:widowControl/>
              <w:spacing w:line="320" w:lineRule="exact"/>
              <w:jc w:val="left"/>
              <w:rPr>
                <w:rFonts w:ascii="Calibri" w:hAnsi="Calibri" w:cs="宋体"/>
                <w:color w:val="000000"/>
                <w:kern w:val="0"/>
                <w:sz w:val="20"/>
                <w:szCs w:val="20"/>
              </w:rPr>
            </w:pPr>
            <w:r>
              <w:rPr>
                <w:rFonts w:ascii="Calibri" w:hAnsi="Calibri" w:cs="宋体"/>
                <w:color w:val="000000"/>
                <w:kern w:val="0"/>
                <w:sz w:val="20"/>
                <w:szCs w:val="20"/>
              </w:rPr>
              <w:t>应用英语（涉外事务）</w:t>
            </w:r>
          </w:p>
        </w:tc>
        <w:tc>
          <w:tcPr>
            <w:tcW w:w="715" w:type="dxa"/>
            <w:tcBorders>
              <w:top w:val="nil"/>
              <w:left w:val="nil"/>
              <w:bottom w:val="nil"/>
              <w:right w:val="nil"/>
            </w:tcBorders>
            <w:shd w:val="clear" w:color="000000" w:fill="BEEDF8"/>
            <w:noWrap/>
            <w:vAlign w:val="center"/>
          </w:tcPr>
          <w:p>
            <w:pPr>
              <w:widowControl/>
              <w:spacing w:line="320" w:lineRule="exact"/>
              <w:jc w:val="center"/>
              <w:rPr>
                <w:rFonts w:ascii="Calibri" w:hAnsi="Calibri" w:cs="宋体"/>
                <w:color w:val="000000"/>
                <w:kern w:val="0"/>
                <w:sz w:val="20"/>
                <w:szCs w:val="20"/>
              </w:rPr>
            </w:pPr>
            <w:r>
              <w:rPr>
                <w:rFonts w:ascii="Calibri" w:hAnsi="Calibri" w:cs="宋体"/>
                <w:color w:val="000000"/>
                <w:kern w:val="0"/>
                <w:sz w:val="20"/>
                <w:szCs w:val="20"/>
              </w:rPr>
              <w:t>22.7</w:t>
            </w:r>
          </w:p>
        </w:tc>
        <w:tc>
          <w:tcPr>
            <w:tcW w:w="716" w:type="dxa"/>
            <w:tcBorders>
              <w:top w:val="nil"/>
              <w:left w:val="nil"/>
              <w:bottom w:val="nil"/>
              <w:right w:val="nil"/>
            </w:tcBorders>
            <w:shd w:val="clear" w:color="000000" w:fill="BEEDF8"/>
            <w:noWrap/>
            <w:vAlign w:val="center"/>
          </w:tcPr>
          <w:p>
            <w:pPr>
              <w:widowControl/>
              <w:spacing w:line="320" w:lineRule="exact"/>
              <w:jc w:val="center"/>
              <w:rPr>
                <w:rFonts w:ascii="Calibri" w:hAnsi="Calibri" w:cs="宋体"/>
                <w:color w:val="000000"/>
                <w:kern w:val="0"/>
                <w:sz w:val="20"/>
                <w:szCs w:val="20"/>
              </w:rPr>
            </w:pPr>
            <w:r>
              <w:rPr>
                <w:rFonts w:ascii="Calibri" w:hAnsi="Calibri" w:cs="宋体"/>
                <w:color w:val="000000"/>
                <w:kern w:val="0"/>
                <w:sz w:val="20"/>
                <w:szCs w:val="20"/>
              </w:rPr>
              <w:t>27.3</w:t>
            </w:r>
          </w:p>
        </w:tc>
        <w:tc>
          <w:tcPr>
            <w:tcW w:w="715" w:type="dxa"/>
            <w:tcBorders>
              <w:top w:val="nil"/>
              <w:left w:val="nil"/>
              <w:bottom w:val="nil"/>
              <w:right w:val="nil"/>
            </w:tcBorders>
            <w:shd w:val="clear" w:color="000000" w:fill="BEEDF8"/>
            <w:noWrap/>
            <w:vAlign w:val="center"/>
          </w:tcPr>
          <w:p>
            <w:pPr>
              <w:widowControl/>
              <w:spacing w:line="320" w:lineRule="exact"/>
              <w:jc w:val="center"/>
              <w:rPr>
                <w:rFonts w:ascii="Calibri" w:hAnsi="Calibri" w:cs="宋体"/>
                <w:color w:val="000000"/>
                <w:kern w:val="0"/>
                <w:sz w:val="20"/>
                <w:szCs w:val="20"/>
              </w:rPr>
            </w:pPr>
            <w:r>
              <w:rPr>
                <w:rFonts w:ascii="Calibri" w:hAnsi="Calibri" w:cs="宋体"/>
                <w:color w:val="000000"/>
                <w:kern w:val="0"/>
                <w:sz w:val="20"/>
                <w:szCs w:val="20"/>
              </w:rPr>
              <w:t>0.0</w:t>
            </w:r>
          </w:p>
        </w:tc>
        <w:tc>
          <w:tcPr>
            <w:tcW w:w="716" w:type="dxa"/>
            <w:tcBorders>
              <w:top w:val="nil"/>
              <w:left w:val="nil"/>
              <w:bottom w:val="nil"/>
              <w:right w:val="nil"/>
            </w:tcBorders>
            <w:shd w:val="clear" w:color="000000" w:fill="BEEDF8"/>
            <w:noWrap/>
            <w:vAlign w:val="center"/>
          </w:tcPr>
          <w:p>
            <w:pPr>
              <w:widowControl/>
              <w:spacing w:line="320" w:lineRule="exact"/>
              <w:jc w:val="center"/>
              <w:rPr>
                <w:rFonts w:ascii="Calibri" w:hAnsi="Calibri" w:cs="宋体"/>
                <w:color w:val="000000"/>
                <w:kern w:val="0"/>
                <w:sz w:val="20"/>
                <w:szCs w:val="20"/>
              </w:rPr>
            </w:pPr>
            <w:r>
              <w:rPr>
                <w:rFonts w:ascii="Calibri" w:hAnsi="Calibri" w:cs="宋体"/>
                <w:color w:val="000000"/>
                <w:kern w:val="0"/>
                <w:sz w:val="20"/>
                <w:szCs w:val="20"/>
              </w:rPr>
              <w:t>31.8</w:t>
            </w:r>
          </w:p>
        </w:tc>
        <w:tc>
          <w:tcPr>
            <w:tcW w:w="716" w:type="dxa"/>
            <w:tcBorders>
              <w:top w:val="nil"/>
              <w:left w:val="nil"/>
              <w:bottom w:val="nil"/>
              <w:right w:val="nil"/>
            </w:tcBorders>
            <w:shd w:val="clear" w:color="000000" w:fill="BEEDF8"/>
            <w:noWrap/>
            <w:vAlign w:val="center"/>
          </w:tcPr>
          <w:p>
            <w:pPr>
              <w:widowControl/>
              <w:spacing w:line="320" w:lineRule="exact"/>
              <w:jc w:val="center"/>
              <w:rPr>
                <w:rFonts w:ascii="Calibri" w:hAnsi="Calibri" w:cs="宋体"/>
                <w:color w:val="000000"/>
                <w:kern w:val="0"/>
                <w:sz w:val="20"/>
                <w:szCs w:val="20"/>
              </w:rPr>
            </w:pPr>
            <w:r>
              <w:rPr>
                <w:rFonts w:ascii="Calibri" w:hAnsi="Calibri" w:cs="宋体"/>
                <w:color w:val="000000"/>
                <w:kern w:val="0"/>
                <w:sz w:val="20"/>
                <w:szCs w:val="20"/>
              </w:rPr>
              <w:t>0.0</w:t>
            </w:r>
          </w:p>
        </w:tc>
        <w:tc>
          <w:tcPr>
            <w:tcW w:w="715" w:type="dxa"/>
            <w:tcBorders>
              <w:top w:val="nil"/>
              <w:left w:val="nil"/>
              <w:bottom w:val="nil"/>
              <w:right w:val="nil"/>
            </w:tcBorders>
            <w:shd w:val="clear" w:color="000000" w:fill="BEEDF8"/>
            <w:noWrap/>
            <w:vAlign w:val="center"/>
          </w:tcPr>
          <w:p>
            <w:pPr>
              <w:widowControl/>
              <w:spacing w:line="320" w:lineRule="exact"/>
              <w:jc w:val="center"/>
              <w:rPr>
                <w:rFonts w:ascii="Calibri" w:hAnsi="Calibri" w:cs="宋体"/>
                <w:color w:val="000000"/>
                <w:kern w:val="0"/>
                <w:sz w:val="20"/>
                <w:szCs w:val="20"/>
              </w:rPr>
            </w:pPr>
            <w:r>
              <w:rPr>
                <w:rFonts w:ascii="Calibri" w:hAnsi="Calibri" w:cs="宋体"/>
                <w:color w:val="000000"/>
                <w:kern w:val="0"/>
                <w:sz w:val="20"/>
                <w:szCs w:val="20"/>
              </w:rPr>
              <w:t>0.0</w:t>
            </w:r>
          </w:p>
        </w:tc>
        <w:tc>
          <w:tcPr>
            <w:tcW w:w="716" w:type="dxa"/>
            <w:tcBorders>
              <w:top w:val="nil"/>
              <w:left w:val="nil"/>
              <w:bottom w:val="nil"/>
              <w:right w:val="nil"/>
            </w:tcBorders>
            <w:shd w:val="clear" w:color="000000" w:fill="BEEDF8"/>
            <w:noWrap/>
            <w:vAlign w:val="center"/>
          </w:tcPr>
          <w:p>
            <w:pPr>
              <w:widowControl/>
              <w:spacing w:line="320" w:lineRule="exact"/>
              <w:jc w:val="center"/>
              <w:rPr>
                <w:rFonts w:ascii="Calibri" w:hAnsi="Calibri" w:cs="宋体"/>
                <w:color w:val="000000"/>
                <w:kern w:val="0"/>
                <w:sz w:val="20"/>
                <w:szCs w:val="20"/>
              </w:rPr>
            </w:pPr>
            <w:r>
              <w:rPr>
                <w:rFonts w:ascii="Calibri" w:hAnsi="Calibri" w:cs="宋体"/>
                <w:color w:val="000000"/>
                <w:kern w:val="0"/>
                <w:sz w:val="20"/>
                <w:szCs w:val="20"/>
              </w:rPr>
              <w:t>9.1</w:t>
            </w:r>
          </w:p>
        </w:tc>
        <w:tc>
          <w:tcPr>
            <w:tcW w:w="715" w:type="dxa"/>
            <w:tcBorders>
              <w:top w:val="nil"/>
              <w:left w:val="nil"/>
              <w:bottom w:val="nil"/>
              <w:right w:val="nil"/>
            </w:tcBorders>
            <w:shd w:val="clear" w:color="000000" w:fill="BEEDF8"/>
            <w:noWrap/>
            <w:vAlign w:val="center"/>
          </w:tcPr>
          <w:p>
            <w:pPr>
              <w:widowControl/>
              <w:spacing w:line="320" w:lineRule="exact"/>
              <w:jc w:val="center"/>
              <w:rPr>
                <w:rFonts w:ascii="Calibri" w:hAnsi="Calibri" w:cs="宋体"/>
                <w:color w:val="000000"/>
                <w:kern w:val="0"/>
                <w:sz w:val="20"/>
                <w:szCs w:val="20"/>
              </w:rPr>
            </w:pPr>
            <w:r>
              <w:rPr>
                <w:rFonts w:ascii="Calibri" w:hAnsi="Calibri" w:cs="宋体"/>
                <w:color w:val="000000"/>
                <w:kern w:val="0"/>
                <w:sz w:val="20"/>
                <w:szCs w:val="20"/>
              </w:rPr>
              <w:t>0.0</w:t>
            </w:r>
          </w:p>
        </w:tc>
        <w:tc>
          <w:tcPr>
            <w:tcW w:w="716" w:type="dxa"/>
            <w:tcBorders>
              <w:top w:val="nil"/>
              <w:left w:val="nil"/>
              <w:bottom w:val="nil"/>
              <w:right w:val="nil"/>
            </w:tcBorders>
            <w:shd w:val="clear" w:color="000000" w:fill="BEEDF8"/>
            <w:noWrap/>
            <w:vAlign w:val="center"/>
          </w:tcPr>
          <w:p>
            <w:pPr>
              <w:widowControl/>
              <w:spacing w:line="320" w:lineRule="exact"/>
              <w:jc w:val="center"/>
              <w:rPr>
                <w:rFonts w:ascii="Calibri" w:hAnsi="Calibri" w:cs="宋体"/>
                <w:color w:val="000000"/>
                <w:kern w:val="0"/>
                <w:sz w:val="20"/>
                <w:szCs w:val="20"/>
              </w:rPr>
            </w:pPr>
            <w:r>
              <w:rPr>
                <w:rFonts w:ascii="Calibri" w:hAnsi="Calibri" w:cs="宋体"/>
                <w:color w:val="000000"/>
                <w:kern w:val="0"/>
                <w:sz w:val="20"/>
                <w:szCs w:val="20"/>
              </w:rPr>
              <w:t>0.0</w:t>
            </w:r>
          </w:p>
        </w:tc>
        <w:tc>
          <w:tcPr>
            <w:tcW w:w="716" w:type="dxa"/>
            <w:tcBorders>
              <w:top w:val="nil"/>
              <w:left w:val="nil"/>
              <w:bottom w:val="nil"/>
              <w:right w:val="nil"/>
            </w:tcBorders>
            <w:shd w:val="clear" w:color="000000" w:fill="BEEDF8"/>
            <w:noWrap/>
            <w:vAlign w:val="center"/>
          </w:tcPr>
          <w:p>
            <w:pPr>
              <w:widowControl/>
              <w:spacing w:line="320" w:lineRule="exact"/>
              <w:jc w:val="center"/>
              <w:rPr>
                <w:rFonts w:ascii="Calibri" w:hAnsi="Calibri" w:cs="宋体"/>
                <w:color w:val="000000"/>
                <w:kern w:val="0"/>
                <w:sz w:val="20"/>
                <w:szCs w:val="20"/>
              </w:rPr>
            </w:pPr>
            <w:r>
              <w:rPr>
                <w:rFonts w:ascii="Calibri" w:hAnsi="Calibri" w:cs="宋体"/>
                <w:color w:val="000000"/>
                <w:kern w:val="0"/>
                <w:sz w:val="20"/>
                <w:szCs w:val="20"/>
              </w:rPr>
              <w:t>9.1</w:t>
            </w:r>
          </w:p>
        </w:tc>
      </w:tr>
      <w:tr>
        <w:tblPrEx>
          <w:tblCellMar>
            <w:top w:w="0" w:type="dxa"/>
            <w:left w:w="108" w:type="dxa"/>
            <w:bottom w:w="0" w:type="dxa"/>
            <w:right w:w="108" w:type="dxa"/>
          </w:tblCellMar>
        </w:tblPrEx>
        <w:trPr>
          <w:trHeight w:val="270" w:hRule="atLeast"/>
          <w:jc w:val="center"/>
        </w:trPr>
        <w:tc>
          <w:tcPr>
            <w:tcW w:w="1734" w:type="dxa"/>
            <w:tcBorders>
              <w:top w:val="nil"/>
              <w:left w:val="nil"/>
              <w:bottom w:val="nil"/>
              <w:right w:val="nil"/>
            </w:tcBorders>
            <w:shd w:val="clear" w:color="000000" w:fill="FFFFFF"/>
            <w:noWrap/>
            <w:vAlign w:val="center"/>
          </w:tcPr>
          <w:p>
            <w:pPr>
              <w:widowControl/>
              <w:spacing w:line="320" w:lineRule="exact"/>
              <w:jc w:val="left"/>
              <w:rPr>
                <w:rFonts w:ascii="Calibri" w:hAnsi="Calibri" w:cs="宋体"/>
                <w:color w:val="000000"/>
                <w:kern w:val="0"/>
                <w:sz w:val="20"/>
                <w:szCs w:val="20"/>
              </w:rPr>
            </w:pPr>
            <w:r>
              <w:rPr>
                <w:rFonts w:ascii="Calibri" w:hAnsi="Calibri" w:cs="宋体"/>
                <w:color w:val="000000"/>
                <w:kern w:val="0"/>
                <w:sz w:val="20"/>
                <w:szCs w:val="20"/>
              </w:rPr>
              <w:t>视觉传播设计与制作</w:t>
            </w:r>
          </w:p>
        </w:tc>
        <w:tc>
          <w:tcPr>
            <w:tcW w:w="715" w:type="dxa"/>
            <w:tcBorders>
              <w:top w:val="nil"/>
              <w:left w:val="nil"/>
              <w:bottom w:val="nil"/>
              <w:right w:val="nil"/>
            </w:tcBorders>
            <w:shd w:val="clear" w:color="000000" w:fill="FFFFFF"/>
            <w:noWrap/>
            <w:vAlign w:val="center"/>
          </w:tcPr>
          <w:p>
            <w:pPr>
              <w:widowControl/>
              <w:spacing w:line="320" w:lineRule="exact"/>
              <w:jc w:val="center"/>
              <w:rPr>
                <w:rFonts w:ascii="Calibri" w:hAnsi="Calibri" w:cs="宋体"/>
                <w:color w:val="000000"/>
                <w:kern w:val="0"/>
                <w:sz w:val="20"/>
                <w:szCs w:val="20"/>
              </w:rPr>
            </w:pPr>
            <w:r>
              <w:rPr>
                <w:rFonts w:ascii="Calibri" w:hAnsi="Calibri" w:cs="宋体"/>
                <w:color w:val="000000"/>
                <w:kern w:val="0"/>
                <w:sz w:val="20"/>
                <w:szCs w:val="20"/>
              </w:rPr>
              <w:t>20.0</w:t>
            </w:r>
          </w:p>
        </w:tc>
        <w:tc>
          <w:tcPr>
            <w:tcW w:w="716" w:type="dxa"/>
            <w:tcBorders>
              <w:top w:val="nil"/>
              <w:left w:val="nil"/>
              <w:bottom w:val="nil"/>
              <w:right w:val="nil"/>
            </w:tcBorders>
            <w:shd w:val="clear" w:color="000000" w:fill="FFFFFF"/>
            <w:noWrap/>
            <w:vAlign w:val="center"/>
          </w:tcPr>
          <w:p>
            <w:pPr>
              <w:widowControl/>
              <w:spacing w:line="320" w:lineRule="exact"/>
              <w:jc w:val="center"/>
              <w:rPr>
                <w:rFonts w:ascii="Calibri" w:hAnsi="Calibri" w:cs="宋体"/>
                <w:color w:val="000000"/>
                <w:kern w:val="0"/>
                <w:sz w:val="20"/>
                <w:szCs w:val="20"/>
              </w:rPr>
            </w:pPr>
            <w:r>
              <w:rPr>
                <w:rFonts w:ascii="Calibri" w:hAnsi="Calibri" w:cs="宋体"/>
                <w:color w:val="000000"/>
                <w:kern w:val="0"/>
                <w:sz w:val="20"/>
                <w:szCs w:val="20"/>
              </w:rPr>
              <w:t>0.0</w:t>
            </w:r>
          </w:p>
        </w:tc>
        <w:tc>
          <w:tcPr>
            <w:tcW w:w="715" w:type="dxa"/>
            <w:tcBorders>
              <w:top w:val="nil"/>
              <w:left w:val="nil"/>
              <w:bottom w:val="nil"/>
              <w:right w:val="nil"/>
            </w:tcBorders>
            <w:shd w:val="clear" w:color="000000" w:fill="FFFFFF"/>
            <w:noWrap/>
            <w:vAlign w:val="center"/>
          </w:tcPr>
          <w:p>
            <w:pPr>
              <w:widowControl/>
              <w:spacing w:line="320" w:lineRule="exact"/>
              <w:jc w:val="center"/>
              <w:rPr>
                <w:rFonts w:ascii="Calibri" w:hAnsi="Calibri" w:cs="宋体"/>
                <w:color w:val="000000"/>
                <w:kern w:val="0"/>
                <w:sz w:val="20"/>
                <w:szCs w:val="20"/>
              </w:rPr>
            </w:pPr>
            <w:r>
              <w:rPr>
                <w:rFonts w:ascii="Calibri" w:hAnsi="Calibri" w:cs="宋体"/>
                <w:color w:val="000000"/>
                <w:kern w:val="0"/>
                <w:sz w:val="20"/>
                <w:szCs w:val="20"/>
              </w:rPr>
              <w:t>80.0</w:t>
            </w:r>
          </w:p>
        </w:tc>
        <w:tc>
          <w:tcPr>
            <w:tcW w:w="716" w:type="dxa"/>
            <w:tcBorders>
              <w:top w:val="nil"/>
              <w:left w:val="nil"/>
              <w:bottom w:val="nil"/>
              <w:right w:val="nil"/>
            </w:tcBorders>
            <w:shd w:val="clear" w:color="000000" w:fill="FFFFFF"/>
            <w:noWrap/>
            <w:vAlign w:val="center"/>
          </w:tcPr>
          <w:p>
            <w:pPr>
              <w:widowControl/>
              <w:spacing w:line="320" w:lineRule="exact"/>
              <w:jc w:val="center"/>
              <w:rPr>
                <w:rFonts w:ascii="Calibri" w:hAnsi="Calibri" w:cs="宋体"/>
                <w:color w:val="000000"/>
                <w:kern w:val="0"/>
                <w:sz w:val="20"/>
                <w:szCs w:val="20"/>
              </w:rPr>
            </w:pPr>
            <w:r>
              <w:rPr>
                <w:rFonts w:ascii="Calibri" w:hAnsi="Calibri" w:cs="宋体"/>
                <w:color w:val="000000"/>
                <w:kern w:val="0"/>
                <w:sz w:val="20"/>
                <w:szCs w:val="20"/>
              </w:rPr>
              <w:t>0.0</w:t>
            </w:r>
          </w:p>
        </w:tc>
        <w:tc>
          <w:tcPr>
            <w:tcW w:w="716" w:type="dxa"/>
            <w:tcBorders>
              <w:top w:val="nil"/>
              <w:left w:val="nil"/>
              <w:bottom w:val="nil"/>
              <w:right w:val="nil"/>
            </w:tcBorders>
            <w:shd w:val="clear" w:color="000000" w:fill="FFFFFF"/>
            <w:noWrap/>
            <w:vAlign w:val="center"/>
          </w:tcPr>
          <w:p>
            <w:pPr>
              <w:widowControl/>
              <w:spacing w:line="320" w:lineRule="exact"/>
              <w:jc w:val="center"/>
              <w:rPr>
                <w:rFonts w:ascii="Calibri" w:hAnsi="Calibri" w:cs="宋体"/>
                <w:color w:val="000000"/>
                <w:kern w:val="0"/>
                <w:sz w:val="20"/>
                <w:szCs w:val="20"/>
              </w:rPr>
            </w:pPr>
            <w:r>
              <w:rPr>
                <w:rFonts w:ascii="Calibri" w:hAnsi="Calibri" w:cs="宋体"/>
                <w:color w:val="000000"/>
                <w:kern w:val="0"/>
                <w:sz w:val="20"/>
                <w:szCs w:val="20"/>
              </w:rPr>
              <w:t>0.0</w:t>
            </w:r>
          </w:p>
        </w:tc>
        <w:tc>
          <w:tcPr>
            <w:tcW w:w="715" w:type="dxa"/>
            <w:tcBorders>
              <w:top w:val="nil"/>
              <w:left w:val="nil"/>
              <w:bottom w:val="nil"/>
              <w:right w:val="nil"/>
            </w:tcBorders>
            <w:shd w:val="clear" w:color="000000" w:fill="FFFFFF"/>
            <w:noWrap/>
            <w:vAlign w:val="center"/>
          </w:tcPr>
          <w:p>
            <w:pPr>
              <w:widowControl/>
              <w:spacing w:line="320" w:lineRule="exact"/>
              <w:jc w:val="center"/>
              <w:rPr>
                <w:rFonts w:ascii="Calibri" w:hAnsi="Calibri" w:cs="宋体"/>
                <w:color w:val="000000"/>
                <w:kern w:val="0"/>
                <w:sz w:val="20"/>
                <w:szCs w:val="20"/>
              </w:rPr>
            </w:pPr>
            <w:r>
              <w:rPr>
                <w:rFonts w:ascii="Calibri" w:hAnsi="Calibri" w:cs="宋体"/>
                <w:color w:val="000000"/>
                <w:kern w:val="0"/>
                <w:sz w:val="20"/>
                <w:szCs w:val="20"/>
              </w:rPr>
              <w:t>0.0</w:t>
            </w:r>
          </w:p>
        </w:tc>
        <w:tc>
          <w:tcPr>
            <w:tcW w:w="716" w:type="dxa"/>
            <w:tcBorders>
              <w:top w:val="nil"/>
              <w:left w:val="nil"/>
              <w:bottom w:val="nil"/>
              <w:right w:val="nil"/>
            </w:tcBorders>
            <w:shd w:val="clear" w:color="000000" w:fill="FFFFFF"/>
            <w:noWrap/>
            <w:vAlign w:val="center"/>
          </w:tcPr>
          <w:p>
            <w:pPr>
              <w:widowControl/>
              <w:spacing w:line="320" w:lineRule="exact"/>
              <w:jc w:val="center"/>
              <w:rPr>
                <w:rFonts w:ascii="Calibri" w:hAnsi="Calibri" w:cs="宋体"/>
                <w:color w:val="000000"/>
                <w:kern w:val="0"/>
                <w:sz w:val="20"/>
                <w:szCs w:val="20"/>
              </w:rPr>
            </w:pPr>
            <w:r>
              <w:rPr>
                <w:rFonts w:ascii="Calibri" w:hAnsi="Calibri" w:cs="宋体"/>
                <w:color w:val="000000"/>
                <w:kern w:val="0"/>
                <w:sz w:val="20"/>
                <w:szCs w:val="20"/>
              </w:rPr>
              <w:t>0.0</w:t>
            </w:r>
          </w:p>
        </w:tc>
        <w:tc>
          <w:tcPr>
            <w:tcW w:w="715" w:type="dxa"/>
            <w:tcBorders>
              <w:top w:val="nil"/>
              <w:left w:val="nil"/>
              <w:bottom w:val="nil"/>
              <w:right w:val="nil"/>
            </w:tcBorders>
            <w:shd w:val="clear" w:color="000000" w:fill="FFFFFF"/>
            <w:noWrap/>
            <w:vAlign w:val="center"/>
          </w:tcPr>
          <w:p>
            <w:pPr>
              <w:widowControl/>
              <w:spacing w:line="320" w:lineRule="exact"/>
              <w:jc w:val="center"/>
              <w:rPr>
                <w:rFonts w:ascii="Calibri" w:hAnsi="Calibri" w:cs="宋体"/>
                <w:color w:val="000000"/>
                <w:kern w:val="0"/>
                <w:sz w:val="20"/>
                <w:szCs w:val="20"/>
              </w:rPr>
            </w:pPr>
            <w:r>
              <w:rPr>
                <w:rFonts w:ascii="Calibri" w:hAnsi="Calibri" w:cs="宋体"/>
                <w:color w:val="000000"/>
                <w:kern w:val="0"/>
                <w:sz w:val="20"/>
                <w:szCs w:val="20"/>
              </w:rPr>
              <w:t>0.0</w:t>
            </w:r>
          </w:p>
        </w:tc>
        <w:tc>
          <w:tcPr>
            <w:tcW w:w="716" w:type="dxa"/>
            <w:tcBorders>
              <w:top w:val="nil"/>
              <w:left w:val="nil"/>
              <w:bottom w:val="nil"/>
              <w:right w:val="nil"/>
            </w:tcBorders>
            <w:shd w:val="clear" w:color="000000" w:fill="FFFFFF"/>
            <w:noWrap/>
            <w:vAlign w:val="center"/>
          </w:tcPr>
          <w:p>
            <w:pPr>
              <w:widowControl/>
              <w:spacing w:line="320" w:lineRule="exact"/>
              <w:jc w:val="center"/>
              <w:rPr>
                <w:rFonts w:ascii="Calibri" w:hAnsi="Calibri" w:cs="宋体"/>
                <w:color w:val="000000"/>
                <w:kern w:val="0"/>
                <w:sz w:val="20"/>
                <w:szCs w:val="20"/>
              </w:rPr>
            </w:pPr>
            <w:r>
              <w:rPr>
                <w:rFonts w:ascii="Calibri" w:hAnsi="Calibri" w:cs="宋体"/>
                <w:color w:val="000000"/>
                <w:kern w:val="0"/>
                <w:sz w:val="20"/>
                <w:szCs w:val="20"/>
              </w:rPr>
              <w:t>0.0</w:t>
            </w:r>
          </w:p>
        </w:tc>
        <w:tc>
          <w:tcPr>
            <w:tcW w:w="716" w:type="dxa"/>
            <w:tcBorders>
              <w:top w:val="nil"/>
              <w:left w:val="nil"/>
              <w:bottom w:val="nil"/>
              <w:right w:val="nil"/>
            </w:tcBorders>
            <w:shd w:val="clear" w:color="000000" w:fill="FFFFFF"/>
            <w:noWrap/>
            <w:vAlign w:val="center"/>
          </w:tcPr>
          <w:p>
            <w:pPr>
              <w:widowControl/>
              <w:spacing w:line="320" w:lineRule="exact"/>
              <w:jc w:val="center"/>
              <w:rPr>
                <w:rFonts w:ascii="Calibri" w:hAnsi="Calibri" w:cs="宋体"/>
                <w:color w:val="000000"/>
                <w:kern w:val="0"/>
                <w:sz w:val="20"/>
                <w:szCs w:val="20"/>
              </w:rPr>
            </w:pPr>
            <w:r>
              <w:rPr>
                <w:rFonts w:ascii="Calibri" w:hAnsi="Calibri" w:cs="宋体"/>
                <w:color w:val="000000"/>
                <w:kern w:val="0"/>
                <w:sz w:val="20"/>
                <w:szCs w:val="20"/>
              </w:rPr>
              <w:t>0.0</w:t>
            </w:r>
          </w:p>
        </w:tc>
      </w:tr>
      <w:tr>
        <w:tblPrEx>
          <w:tblCellMar>
            <w:top w:w="0" w:type="dxa"/>
            <w:left w:w="108" w:type="dxa"/>
            <w:bottom w:w="0" w:type="dxa"/>
            <w:right w:w="108" w:type="dxa"/>
          </w:tblCellMar>
        </w:tblPrEx>
        <w:trPr>
          <w:trHeight w:val="270" w:hRule="atLeast"/>
          <w:jc w:val="center"/>
        </w:trPr>
        <w:tc>
          <w:tcPr>
            <w:tcW w:w="1734" w:type="dxa"/>
            <w:tcBorders>
              <w:top w:val="nil"/>
              <w:left w:val="nil"/>
              <w:bottom w:val="nil"/>
              <w:right w:val="nil"/>
            </w:tcBorders>
            <w:shd w:val="clear" w:color="000000" w:fill="BEEDF8"/>
            <w:noWrap/>
            <w:vAlign w:val="center"/>
          </w:tcPr>
          <w:p>
            <w:pPr>
              <w:widowControl/>
              <w:spacing w:line="320" w:lineRule="exact"/>
              <w:jc w:val="left"/>
              <w:rPr>
                <w:rFonts w:ascii="Calibri" w:hAnsi="Calibri" w:cs="宋体"/>
                <w:color w:val="000000"/>
                <w:kern w:val="0"/>
                <w:sz w:val="20"/>
                <w:szCs w:val="20"/>
              </w:rPr>
            </w:pPr>
            <w:r>
              <w:rPr>
                <w:rFonts w:ascii="Calibri" w:hAnsi="Calibri" w:cs="宋体"/>
                <w:color w:val="000000"/>
                <w:kern w:val="0"/>
                <w:sz w:val="20"/>
                <w:szCs w:val="20"/>
              </w:rPr>
              <w:t>应用日语</w:t>
            </w:r>
          </w:p>
        </w:tc>
        <w:tc>
          <w:tcPr>
            <w:tcW w:w="715" w:type="dxa"/>
            <w:tcBorders>
              <w:top w:val="nil"/>
              <w:left w:val="nil"/>
              <w:bottom w:val="nil"/>
              <w:right w:val="nil"/>
            </w:tcBorders>
            <w:shd w:val="clear" w:color="000000" w:fill="BEEDF8"/>
            <w:noWrap/>
            <w:vAlign w:val="center"/>
          </w:tcPr>
          <w:p>
            <w:pPr>
              <w:widowControl/>
              <w:spacing w:line="320" w:lineRule="exact"/>
              <w:jc w:val="center"/>
              <w:rPr>
                <w:rFonts w:ascii="Calibri" w:hAnsi="Calibri" w:cs="宋体"/>
                <w:color w:val="000000"/>
                <w:kern w:val="0"/>
                <w:sz w:val="20"/>
                <w:szCs w:val="20"/>
              </w:rPr>
            </w:pPr>
            <w:r>
              <w:rPr>
                <w:rFonts w:ascii="Calibri" w:hAnsi="Calibri" w:cs="宋体"/>
                <w:color w:val="000000"/>
                <w:kern w:val="0"/>
                <w:sz w:val="20"/>
                <w:szCs w:val="20"/>
              </w:rPr>
              <w:t>17.9</w:t>
            </w:r>
          </w:p>
        </w:tc>
        <w:tc>
          <w:tcPr>
            <w:tcW w:w="716" w:type="dxa"/>
            <w:tcBorders>
              <w:top w:val="nil"/>
              <w:left w:val="nil"/>
              <w:bottom w:val="nil"/>
              <w:right w:val="nil"/>
            </w:tcBorders>
            <w:shd w:val="clear" w:color="000000" w:fill="BEEDF8"/>
            <w:noWrap/>
            <w:vAlign w:val="center"/>
          </w:tcPr>
          <w:p>
            <w:pPr>
              <w:widowControl/>
              <w:spacing w:line="320" w:lineRule="exact"/>
              <w:jc w:val="center"/>
              <w:rPr>
                <w:rFonts w:ascii="Calibri" w:hAnsi="Calibri" w:cs="宋体"/>
                <w:color w:val="000000"/>
                <w:kern w:val="0"/>
                <w:sz w:val="20"/>
                <w:szCs w:val="20"/>
              </w:rPr>
            </w:pPr>
            <w:r>
              <w:rPr>
                <w:rFonts w:ascii="Calibri" w:hAnsi="Calibri" w:cs="宋体"/>
                <w:color w:val="000000"/>
                <w:kern w:val="0"/>
                <w:sz w:val="20"/>
                <w:szCs w:val="20"/>
              </w:rPr>
              <w:t>7.1</w:t>
            </w:r>
          </w:p>
        </w:tc>
        <w:tc>
          <w:tcPr>
            <w:tcW w:w="715" w:type="dxa"/>
            <w:tcBorders>
              <w:top w:val="nil"/>
              <w:left w:val="nil"/>
              <w:bottom w:val="nil"/>
              <w:right w:val="nil"/>
            </w:tcBorders>
            <w:shd w:val="clear" w:color="000000" w:fill="BEEDF8"/>
            <w:noWrap/>
            <w:vAlign w:val="center"/>
          </w:tcPr>
          <w:p>
            <w:pPr>
              <w:widowControl/>
              <w:spacing w:line="320" w:lineRule="exact"/>
              <w:jc w:val="center"/>
              <w:rPr>
                <w:rFonts w:ascii="Calibri" w:hAnsi="Calibri" w:cs="宋体"/>
                <w:color w:val="000000"/>
                <w:kern w:val="0"/>
                <w:sz w:val="20"/>
                <w:szCs w:val="20"/>
              </w:rPr>
            </w:pPr>
            <w:r>
              <w:rPr>
                <w:rFonts w:ascii="Calibri" w:hAnsi="Calibri" w:cs="宋体"/>
                <w:color w:val="000000"/>
                <w:kern w:val="0"/>
                <w:sz w:val="20"/>
                <w:szCs w:val="20"/>
              </w:rPr>
              <w:t>21.4</w:t>
            </w:r>
          </w:p>
        </w:tc>
        <w:tc>
          <w:tcPr>
            <w:tcW w:w="716" w:type="dxa"/>
            <w:tcBorders>
              <w:top w:val="nil"/>
              <w:left w:val="nil"/>
              <w:bottom w:val="nil"/>
              <w:right w:val="nil"/>
            </w:tcBorders>
            <w:shd w:val="clear" w:color="000000" w:fill="BEEDF8"/>
            <w:noWrap/>
            <w:vAlign w:val="center"/>
          </w:tcPr>
          <w:p>
            <w:pPr>
              <w:widowControl/>
              <w:spacing w:line="320" w:lineRule="exact"/>
              <w:jc w:val="center"/>
              <w:rPr>
                <w:rFonts w:ascii="Calibri" w:hAnsi="Calibri" w:cs="宋体"/>
                <w:color w:val="000000"/>
                <w:kern w:val="0"/>
                <w:sz w:val="20"/>
                <w:szCs w:val="20"/>
              </w:rPr>
            </w:pPr>
            <w:r>
              <w:rPr>
                <w:rFonts w:ascii="Calibri" w:hAnsi="Calibri" w:cs="宋体"/>
                <w:color w:val="000000"/>
                <w:kern w:val="0"/>
                <w:sz w:val="20"/>
                <w:szCs w:val="20"/>
              </w:rPr>
              <w:t>14.3</w:t>
            </w:r>
          </w:p>
        </w:tc>
        <w:tc>
          <w:tcPr>
            <w:tcW w:w="716" w:type="dxa"/>
            <w:tcBorders>
              <w:top w:val="nil"/>
              <w:left w:val="nil"/>
              <w:bottom w:val="nil"/>
              <w:right w:val="nil"/>
            </w:tcBorders>
            <w:shd w:val="clear" w:color="000000" w:fill="BEEDF8"/>
            <w:noWrap/>
            <w:vAlign w:val="center"/>
          </w:tcPr>
          <w:p>
            <w:pPr>
              <w:widowControl/>
              <w:spacing w:line="320" w:lineRule="exact"/>
              <w:jc w:val="center"/>
              <w:rPr>
                <w:rFonts w:ascii="Calibri" w:hAnsi="Calibri" w:cs="宋体"/>
                <w:color w:val="000000"/>
                <w:kern w:val="0"/>
                <w:sz w:val="20"/>
                <w:szCs w:val="20"/>
              </w:rPr>
            </w:pPr>
            <w:r>
              <w:rPr>
                <w:rFonts w:ascii="Calibri" w:hAnsi="Calibri" w:cs="宋体"/>
                <w:color w:val="000000"/>
                <w:kern w:val="0"/>
                <w:sz w:val="20"/>
                <w:szCs w:val="20"/>
              </w:rPr>
              <w:t>28.6</w:t>
            </w:r>
          </w:p>
        </w:tc>
        <w:tc>
          <w:tcPr>
            <w:tcW w:w="715" w:type="dxa"/>
            <w:tcBorders>
              <w:top w:val="nil"/>
              <w:left w:val="nil"/>
              <w:bottom w:val="nil"/>
              <w:right w:val="nil"/>
            </w:tcBorders>
            <w:shd w:val="clear" w:color="000000" w:fill="BEEDF8"/>
            <w:noWrap/>
            <w:vAlign w:val="center"/>
          </w:tcPr>
          <w:p>
            <w:pPr>
              <w:widowControl/>
              <w:spacing w:line="320" w:lineRule="exact"/>
              <w:jc w:val="center"/>
              <w:rPr>
                <w:rFonts w:ascii="Calibri" w:hAnsi="Calibri" w:cs="宋体"/>
                <w:color w:val="000000"/>
                <w:kern w:val="0"/>
                <w:sz w:val="20"/>
                <w:szCs w:val="20"/>
              </w:rPr>
            </w:pPr>
            <w:r>
              <w:rPr>
                <w:rFonts w:ascii="Calibri" w:hAnsi="Calibri" w:cs="宋体"/>
                <w:color w:val="000000"/>
                <w:kern w:val="0"/>
                <w:sz w:val="20"/>
                <w:szCs w:val="20"/>
              </w:rPr>
              <w:t>0.0</w:t>
            </w:r>
          </w:p>
        </w:tc>
        <w:tc>
          <w:tcPr>
            <w:tcW w:w="716" w:type="dxa"/>
            <w:tcBorders>
              <w:top w:val="nil"/>
              <w:left w:val="nil"/>
              <w:bottom w:val="nil"/>
              <w:right w:val="nil"/>
            </w:tcBorders>
            <w:shd w:val="clear" w:color="000000" w:fill="BEEDF8"/>
            <w:noWrap/>
            <w:vAlign w:val="center"/>
          </w:tcPr>
          <w:p>
            <w:pPr>
              <w:widowControl/>
              <w:spacing w:line="320" w:lineRule="exact"/>
              <w:jc w:val="center"/>
              <w:rPr>
                <w:rFonts w:ascii="Calibri" w:hAnsi="Calibri" w:cs="宋体"/>
                <w:color w:val="000000"/>
                <w:kern w:val="0"/>
                <w:sz w:val="20"/>
                <w:szCs w:val="20"/>
              </w:rPr>
            </w:pPr>
            <w:r>
              <w:rPr>
                <w:rFonts w:ascii="Calibri" w:hAnsi="Calibri" w:cs="宋体"/>
                <w:color w:val="000000"/>
                <w:kern w:val="0"/>
                <w:sz w:val="20"/>
                <w:szCs w:val="20"/>
              </w:rPr>
              <w:t>0.0</w:t>
            </w:r>
          </w:p>
        </w:tc>
        <w:tc>
          <w:tcPr>
            <w:tcW w:w="715" w:type="dxa"/>
            <w:tcBorders>
              <w:top w:val="nil"/>
              <w:left w:val="nil"/>
              <w:bottom w:val="nil"/>
              <w:right w:val="nil"/>
            </w:tcBorders>
            <w:shd w:val="clear" w:color="000000" w:fill="BEEDF8"/>
            <w:noWrap/>
            <w:vAlign w:val="center"/>
          </w:tcPr>
          <w:p>
            <w:pPr>
              <w:widowControl/>
              <w:spacing w:line="320" w:lineRule="exact"/>
              <w:jc w:val="center"/>
              <w:rPr>
                <w:rFonts w:ascii="Calibri" w:hAnsi="Calibri" w:cs="宋体"/>
                <w:color w:val="000000"/>
                <w:kern w:val="0"/>
                <w:sz w:val="20"/>
                <w:szCs w:val="20"/>
              </w:rPr>
            </w:pPr>
            <w:r>
              <w:rPr>
                <w:rFonts w:ascii="Calibri" w:hAnsi="Calibri" w:cs="宋体"/>
                <w:color w:val="000000"/>
                <w:kern w:val="0"/>
                <w:sz w:val="20"/>
                <w:szCs w:val="20"/>
              </w:rPr>
              <w:t>0.0</w:t>
            </w:r>
          </w:p>
        </w:tc>
        <w:tc>
          <w:tcPr>
            <w:tcW w:w="716" w:type="dxa"/>
            <w:tcBorders>
              <w:top w:val="nil"/>
              <w:left w:val="nil"/>
              <w:bottom w:val="nil"/>
              <w:right w:val="nil"/>
            </w:tcBorders>
            <w:shd w:val="clear" w:color="000000" w:fill="BEEDF8"/>
            <w:noWrap/>
            <w:vAlign w:val="center"/>
          </w:tcPr>
          <w:p>
            <w:pPr>
              <w:widowControl/>
              <w:spacing w:line="320" w:lineRule="exact"/>
              <w:jc w:val="center"/>
              <w:rPr>
                <w:rFonts w:ascii="Calibri" w:hAnsi="Calibri" w:cs="宋体"/>
                <w:color w:val="000000"/>
                <w:kern w:val="0"/>
                <w:sz w:val="20"/>
                <w:szCs w:val="20"/>
              </w:rPr>
            </w:pPr>
            <w:r>
              <w:rPr>
                <w:rFonts w:ascii="Calibri" w:hAnsi="Calibri" w:cs="宋体"/>
                <w:color w:val="000000"/>
                <w:kern w:val="0"/>
                <w:sz w:val="20"/>
                <w:szCs w:val="20"/>
              </w:rPr>
              <w:t>0.0</w:t>
            </w:r>
          </w:p>
        </w:tc>
        <w:tc>
          <w:tcPr>
            <w:tcW w:w="716" w:type="dxa"/>
            <w:tcBorders>
              <w:top w:val="nil"/>
              <w:left w:val="nil"/>
              <w:bottom w:val="nil"/>
              <w:right w:val="nil"/>
            </w:tcBorders>
            <w:shd w:val="clear" w:color="000000" w:fill="BEEDF8"/>
            <w:noWrap/>
            <w:vAlign w:val="center"/>
          </w:tcPr>
          <w:p>
            <w:pPr>
              <w:widowControl/>
              <w:spacing w:line="320" w:lineRule="exact"/>
              <w:jc w:val="center"/>
              <w:rPr>
                <w:rFonts w:ascii="Calibri" w:hAnsi="Calibri" w:cs="宋体"/>
                <w:color w:val="000000"/>
                <w:kern w:val="0"/>
                <w:sz w:val="20"/>
                <w:szCs w:val="20"/>
              </w:rPr>
            </w:pPr>
            <w:r>
              <w:rPr>
                <w:rFonts w:ascii="Calibri" w:hAnsi="Calibri" w:cs="宋体"/>
                <w:color w:val="000000"/>
                <w:kern w:val="0"/>
                <w:sz w:val="20"/>
                <w:szCs w:val="20"/>
              </w:rPr>
              <w:t>10.7</w:t>
            </w:r>
          </w:p>
        </w:tc>
      </w:tr>
      <w:tr>
        <w:tblPrEx>
          <w:tblCellMar>
            <w:top w:w="0" w:type="dxa"/>
            <w:left w:w="108" w:type="dxa"/>
            <w:bottom w:w="0" w:type="dxa"/>
            <w:right w:w="108" w:type="dxa"/>
          </w:tblCellMar>
        </w:tblPrEx>
        <w:trPr>
          <w:trHeight w:val="270" w:hRule="atLeast"/>
          <w:jc w:val="center"/>
        </w:trPr>
        <w:tc>
          <w:tcPr>
            <w:tcW w:w="1734" w:type="dxa"/>
            <w:tcBorders>
              <w:top w:val="nil"/>
              <w:left w:val="nil"/>
              <w:bottom w:val="nil"/>
              <w:right w:val="nil"/>
            </w:tcBorders>
            <w:shd w:val="clear" w:color="000000" w:fill="FFFFFF"/>
            <w:noWrap/>
            <w:vAlign w:val="center"/>
          </w:tcPr>
          <w:p>
            <w:pPr>
              <w:widowControl/>
              <w:spacing w:line="320" w:lineRule="exact"/>
              <w:jc w:val="left"/>
              <w:rPr>
                <w:rFonts w:ascii="Calibri" w:hAnsi="Calibri" w:cs="宋体"/>
                <w:color w:val="000000"/>
                <w:kern w:val="0"/>
                <w:sz w:val="20"/>
                <w:szCs w:val="20"/>
              </w:rPr>
            </w:pPr>
            <w:r>
              <w:rPr>
                <w:rFonts w:ascii="Calibri" w:hAnsi="Calibri" w:cs="宋体"/>
                <w:color w:val="000000"/>
                <w:kern w:val="0"/>
                <w:sz w:val="20"/>
                <w:szCs w:val="20"/>
              </w:rPr>
              <w:t>商务日语</w:t>
            </w:r>
          </w:p>
        </w:tc>
        <w:tc>
          <w:tcPr>
            <w:tcW w:w="715" w:type="dxa"/>
            <w:tcBorders>
              <w:top w:val="nil"/>
              <w:left w:val="nil"/>
              <w:bottom w:val="nil"/>
              <w:right w:val="nil"/>
            </w:tcBorders>
            <w:shd w:val="clear" w:color="000000" w:fill="FFFFFF"/>
            <w:noWrap/>
            <w:vAlign w:val="center"/>
          </w:tcPr>
          <w:p>
            <w:pPr>
              <w:widowControl/>
              <w:spacing w:line="320" w:lineRule="exact"/>
              <w:jc w:val="center"/>
              <w:rPr>
                <w:rFonts w:ascii="Calibri" w:hAnsi="Calibri" w:cs="宋体"/>
                <w:color w:val="000000"/>
                <w:kern w:val="0"/>
                <w:sz w:val="20"/>
                <w:szCs w:val="20"/>
              </w:rPr>
            </w:pPr>
            <w:r>
              <w:rPr>
                <w:rFonts w:ascii="Calibri" w:hAnsi="Calibri" w:cs="宋体"/>
                <w:color w:val="000000"/>
                <w:kern w:val="0"/>
                <w:sz w:val="20"/>
                <w:szCs w:val="20"/>
              </w:rPr>
              <w:t>14.3</w:t>
            </w:r>
          </w:p>
        </w:tc>
        <w:tc>
          <w:tcPr>
            <w:tcW w:w="716" w:type="dxa"/>
            <w:tcBorders>
              <w:top w:val="nil"/>
              <w:left w:val="nil"/>
              <w:bottom w:val="nil"/>
              <w:right w:val="nil"/>
            </w:tcBorders>
            <w:shd w:val="clear" w:color="000000" w:fill="FFFFFF"/>
            <w:noWrap/>
            <w:vAlign w:val="center"/>
          </w:tcPr>
          <w:p>
            <w:pPr>
              <w:widowControl/>
              <w:spacing w:line="320" w:lineRule="exact"/>
              <w:jc w:val="center"/>
              <w:rPr>
                <w:rFonts w:ascii="Calibri" w:hAnsi="Calibri" w:cs="宋体"/>
                <w:color w:val="000000"/>
                <w:kern w:val="0"/>
                <w:sz w:val="20"/>
                <w:szCs w:val="20"/>
              </w:rPr>
            </w:pPr>
            <w:r>
              <w:rPr>
                <w:rFonts w:ascii="Calibri" w:hAnsi="Calibri" w:cs="宋体"/>
                <w:color w:val="000000"/>
                <w:kern w:val="0"/>
                <w:sz w:val="20"/>
                <w:szCs w:val="20"/>
              </w:rPr>
              <w:t>22.9</w:t>
            </w:r>
          </w:p>
        </w:tc>
        <w:tc>
          <w:tcPr>
            <w:tcW w:w="715" w:type="dxa"/>
            <w:tcBorders>
              <w:top w:val="nil"/>
              <w:left w:val="nil"/>
              <w:bottom w:val="nil"/>
              <w:right w:val="nil"/>
            </w:tcBorders>
            <w:shd w:val="clear" w:color="000000" w:fill="FFFFFF"/>
            <w:noWrap/>
            <w:vAlign w:val="center"/>
          </w:tcPr>
          <w:p>
            <w:pPr>
              <w:widowControl/>
              <w:spacing w:line="320" w:lineRule="exact"/>
              <w:jc w:val="center"/>
              <w:rPr>
                <w:rFonts w:ascii="Calibri" w:hAnsi="Calibri" w:cs="宋体"/>
                <w:color w:val="000000"/>
                <w:kern w:val="0"/>
                <w:sz w:val="20"/>
                <w:szCs w:val="20"/>
              </w:rPr>
            </w:pPr>
            <w:r>
              <w:rPr>
                <w:rFonts w:ascii="Calibri" w:hAnsi="Calibri" w:cs="宋体"/>
                <w:color w:val="000000"/>
                <w:kern w:val="0"/>
                <w:sz w:val="20"/>
                <w:szCs w:val="20"/>
              </w:rPr>
              <w:t>2.9</w:t>
            </w:r>
          </w:p>
        </w:tc>
        <w:tc>
          <w:tcPr>
            <w:tcW w:w="716" w:type="dxa"/>
            <w:tcBorders>
              <w:top w:val="nil"/>
              <w:left w:val="nil"/>
              <w:bottom w:val="nil"/>
              <w:right w:val="nil"/>
            </w:tcBorders>
            <w:shd w:val="clear" w:color="000000" w:fill="FFFFFF"/>
            <w:noWrap/>
            <w:vAlign w:val="center"/>
          </w:tcPr>
          <w:p>
            <w:pPr>
              <w:widowControl/>
              <w:spacing w:line="320" w:lineRule="exact"/>
              <w:jc w:val="center"/>
              <w:rPr>
                <w:rFonts w:ascii="Calibri" w:hAnsi="Calibri" w:cs="宋体"/>
                <w:color w:val="000000"/>
                <w:kern w:val="0"/>
                <w:sz w:val="20"/>
                <w:szCs w:val="20"/>
              </w:rPr>
            </w:pPr>
            <w:r>
              <w:rPr>
                <w:rFonts w:ascii="Calibri" w:hAnsi="Calibri" w:cs="宋体"/>
                <w:color w:val="000000"/>
                <w:kern w:val="0"/>
                <w:sz w:val="20"/>
                <w:szCs w:val="20"/>
              </w:rPr>
              <w:t>31.4</w:t>
            </w:r>
          </w:p>
        </w:tc>
        <w:tc>
          <w:tcPr>
            <w:tcW w:w="716" w:type="dxa"/>
            <w:tcBorders>
              <w:top w:val="nil"/>
              <w:left w:val="nil"/>
              <w:bottom w:val="nil"/>
              <w:right w:val="nil"/>
            </w:tcBorders>
            <w:shd w:val="clear" w:color="000000" w:fill="FFFFFF"/>
            <w:noWrap/>
            <w:vAlign w:val="center"/>
          </w:tcPr>
          <w:p>
            <w:pPr>
              <w:widowControl/>
              <w:spacing w:line="320" w:lineRule="exact"/>
              <w:jc w:val="center"/>
              <w:rPr>
                <w:rFonts w:ascii="Calibri" w:hAnsi="Calibri" w:cs="宋体"/>
                <w:color w:val="000000"/>
                <w:kern w:val="0"/>
                <w:sz w:val="20"/>
                <w:szCs w:val="20"/>
              </w:rPr>
            </w:pPr>
            <w:r>
              <w:rPr>
                <w:rFonts w:ascii="Calibri" w:hAnsi="Calibri" w:cs="宋体"/>
                <w:color w:val="000000"/>
                <w:kern w:val="0"/>
                <w:sz w:val="20"/>
                <w:szCs w:val="20"/>
              </w:rPr>
              <w:t>17.1</w:t>
            </w:r>
          </w:p>
        </w:tc>
        <w:tc>
          <w:tcPr>
            <w:tcW w:w="715" w:type="dxa"/>
            <w:tcBorders>
              <w:top w:val="nil"/>
              <w:left w:val="nil"/>
              <w:bottom w:val="nil"/>
              <w:right w:val="nil"/>
            </w:tcBorders>
            <w:shd w:val="clear" w:color="000000" w:fill="FFFFFF"/>
            <w:noWrap/>
            <w:vAlign w:val="center"/>
          </w:tcPr>
          <w:p>
            <w:pPr>
              <w:widowControl/>
              <w:spacing w:line="320" w:lineRule="exact"/>
              <w:jc w:val="center"/>
              <w:rPr>
                <w:rFonts w:ascii="Calibri" w:hAnsi="Calibri" w:cs="宋体"/>
                <w:color w:val="000000"/>
                <w:kern w:val="0"/>
                <w:sz w:val="20"/>
                <w:szCs w:val="20"/>
              </w:rPr>
            </w:pPr>
            <w:r>
              <w:rPr>
                <w:rFonts w:ascii="Calibri" w:hAnsi="Calibri" w:cs="宋体"/>
                <w:color w:val="000000"/>
                <w:kern w:val="0"/>
                <w:sz w:val="20"/>
                <w:szCs w:val="20"/>
              </w:rPr>
              <w:t>0.0</w:t>
            </w:r>
          </w:p>
        </w:tc>
        <w:tc>
          <w:tcPr>
            <w:tcW w:w="716" w:type="dxa"/>
            <w:tcBorders>
              <w:top w:val="nil"/>
              <w:left w:val="nil"/>
              <w:bottom w:val="nil"/>
              <w:right w:val="nil"/>
            </w:tcBorders>
            <w:shd w:val="clear" w:color="000000" w:fill="FFFFFF"/>
            <w:noWrap/>
            <w:vAlign w:val="center"/>
          </w:tcPr>
          <w:p>
            <w:pPr>
              <w:widowControl/>
              <w:spacing w:line="320" w:lineRule="exact"/>
              <w:jc w:val="center"/>
              <w:rPr>
                <w:rFonts w:ascii="Calibri" w:hAnsi="Calibri" w:cs="宋体"/>
                <w:color w:val="000000"/>
                <w:kern w:val="0"/>
                <w:sz w:val="20"/>
                <w:szCs w:val="20"/>
              </w:rPr>
            </w:pPr>
            <w:r>
              <w:rPr>
                <w:rFonts w:ascii="Calibri" w:hAnsi="Calibri" w:cs="宋体"/>
                <w:color w:val="000000"/>
                <w:kern w:val="0"/>
                <w:sz w:val="20"/>
                <w:szCs w:val="20"/>
              </w:rPr>
              <w:t>0.0</w:t>
            </w:r>
          </w:p>
        </w:tc>
        <w:tc>
          <w:tcPr>
            <w:tcW w:w="715" w:type="dxa"/>
            <w:tcBorders>
              <w:top w:val="nil"/>
              <w:left w:val="nil"/>
              <w:bottom w:val="nil"/>
              <w:right w:val="nil"/>
            </w:tcBorders>
            <w:shd w:val="clear" w:color="000000" w:fill="FFFFFF"/>
            <w:noWrap/>
            <w:vAlign w:val="center"/>
          </w:tcPr>
          <w:p>
            <w:pPr>
              <w:widowControl/>
              <w:spacing w:line="320" w:lineRule="exact"/>
              <w:jc w:val="center"/>
              <w:rPr>
                <w:rFonts w:ascii="Calibri" w:hAnsi="Calibri" w:cs="宋体"/>
                <w:color w:val="000000"/>
                <w:kern w:val="0"/>
                <w:sz w:val="20"/>
                <w:szCs w:val="20"/>
              </w:rPr>
            </w:pPr>
            <w:r>
              <w:rPr>
                <w:rFonts w:ascii="Calibri" w:hAnsi="Calibri" w:cs="宋体"/>
                <w:color w:val="000000"/>
                <w:kern w:val="0"/>
                <w:sz w:val="20"/>
                <w:szCs w:val="20"/>
              </w:rPr>
              <w:t>0.0</w:t>
            </w:r>
          </w:p>
        </w:tc>
        <w:tc>
          <w:tcPr>
            <w:tcW w:w="716" w:type="dxa"/>
            <w:tcBorders>
              <w:top w:val="nil"/>
              <w:left w:val="nil"/>
              <w:bottom w:val="nil"/>
              <w:right w:val="nil"/>
            </w:tcBorders>
            <w:shd w:val="clear" w:color="000000" w:fill="FFFFFF"/>
            <w:noWrap/>
            <w:vAlign w:val="center"/>
          </w:tcPr>
          <w:p>
            <w:pPr>
              <w:widowControl/>
              <w:spacing w:line="320" w:lineRule="exact"/>
              <w:jc w:val="center"/>
              <w:rPr>
                <w:rFonts w:ascii="Calibri" w:hAnsi="Calibri" w:cs="宋体"/>
                <w:color w:val="000000"/>
                <w:kern w:val="0"/>
                <w:sz w:val="20"/>
                <w:szCs w:val="20"/>
              </w:rPr>
            </w:pPr>
            <w:r>
              <w:rPr>
                <w:rFonts w:ascii="Calibri" w:hAnsi="Calibri" w:cs="宋体"/>
                <w:color w:val="000000"/>
                <w:kern w:val="0"/>
                <w:sz w:val="20"/>
                <w:szCs w:val="20"/>
              </w:rPr>
              <w:t>0.0</w:t>
            </w:r>
          </w:p>
        </w:tc>
        <w:tc>
          <w:tcPr>
            <w:tcW w:w="716" w:type="dxa"/>
            <w:tcBorders>
              <w:top w:val="nil"/>
              <w:left w:val="nil"/>
              <w:bottom w:val="nil"/>
              <w:right w:val="nil"/>
            </w:tcBorders>
            <w:shd w:val="clear" w:color="000000" w:fill="FFFFFF"/>
            <w:noWrap/>
            <w:vAlign w:val="center"/>
          </w:tcPr>
          <w:p>
            <w:pPr>
              <w:widowControl/>
              <w:spacing w:line="320" w:lineRule="exact"/>
              <w:jc w:val="center"/>
              <w:rPr>
                <w:rFonts w:ascii="Calibri" w:hAnsi="Calibri" w:cs="宋体"/>
                <w:color w:val="000000"/>
                <w:kern w:val="0"/>
                <w:sz w:val="20"/>
                <w:szCs w:val="20"/>
              </w:rPr>
            </w:pPr>
            <w:r>
              <w:rPr>
                <w:rFonts w:ascii="Calibri" w:hAnsi="Calibri" w:cs="宋体"/>
                <w:color w:val="000000"/>
                <w:kern w:val="0"/>
                <w:sz w:val="20"/>
                <w:szCs w:val="20"/>
              </w:rPr>
              <w:t>11.4</w:t>
            </w:r>
          </w:p>
        </w:tc>
      </w:tr>
      <w:tr>
        <w:tblPrEx>
          <w:tblCellMar>
            <w:top w:w="0" w:type="dxa"/>
            <w:left w:w="108" w:type="dxa"/>
            <w:bottom w:w="0" w:type="dxa"/>
            <w:right w:w="108" w:type="dxa"/>
          </w:tblCellMar>
        </w:tblPrEx>
        <w:trPr>
          <w:trHeight w:val="270" w:hRule="atLeast"/>
          <w:jc w:val="center"/>
        </w:trPr>
        <w:tc>
          <w:tcPr>
            <w:tcW w:w="1734" w:type="dxa"/>
            <w:tcBorders>
              <w:top w:val="nil"/>
              <w:left w:val="nil"/>
              <w:bottom w:val="nil"/>
              <w:right w:val="nil"/>
            </w:tcBorders>
            <w:shd w:val="clear" w:color="000000" w:fill="BEEDF8"/>
            <w:noWrap/>
            <w:vAlign w:val="center"/>
          </w:tcPr>
          <w:p>
            <w:pPr>
              <w:widowControl/>
              <w:spacing w:line="320" w:lineRule="exact"/>
              <w:jc w:val="left"/>
              <w:rPr>
                <w:rFonts w:ascii="Calibri" w:hAnsi="Calibri" w:cs="宋体"/>
                <w:color w:val="000000"/>
                <w:kern w:val="0"/>
                <w:sz w:val="20"/>
                <w:szCs w:val="20"/>
              </w:rPr>
            </w:pPr>
            <w:r>
              <w:rPr>
                <w:rFonts w:ascii="Calibri" w:hAnsi="Calibri" w:cs="宋体"/>
                <w:color w:val="000000"/>
                <w:kern w:val="0"/>
                <w:sz w:val="20"/>
                <w:szCs w:val="20"/>
              </w:rPr>
              <w:t>应用俄语</w:t>
            </w:r>
          </w:p>
        </w:tc>
        <w:tc>
          <w:tcPr>
            <w:tcW w:w="715" w:type="dxa"/>
            <w:tcBorders>
              <w:top w:val="nil"/>
              <w:left w:val="nil"/>
              <w:bottom w:val="nil"/>
              <w:right w:val="nil"/>
            </w:tcBorders>
            <w:shd w:val="clear" w:color="000000" w:fill="BEEDF8"/>
            <w:noWrap/>
            <w:vAlign w:val="center"/>
          </w:tcPr>
          <w:p>
            <w:pPr>
              <w:widowControl/>
              <w:spacing w:line="320" w:lineRule="exact"/>
              <w:jc w:val="center"/>
              <w:rPr>
                <w:rFonts w:ascii="Calibri" w:hAnsi="Calibri" w:cs="宋体"/>
                <w:color w:val="000000"/>
                <w:kern w:val="0"/>
                <w:sz w:val="20"/>
                <w:szCs w:val="20"/>
              </w:rPr>
            </w:pPr>
            <w:r>
              <w:rPr>
                <w:rFonts w:ascii="Calibri" w:hAnsi="Calibri" w:cs="宋体"/>
                <w:color w:val="000000"/>
                <w:kern w:val="0"/>
                <w:sz w:val="20"/>
                <w:szCs w:val="20"/>
              </w:rPr>
              <w:t>6.5</w:t>
            </w:r>
          </w:p>
        </w:tc>
        <w:tc>
          <w:tcPr>
            <w:tcW w:w="716" w:type="dxa"/>
            <w:tcBorders>
              <w:top w:val="nil"/>
              <w:left w:val="nil"/>
              <w:bottom w:val="nil"/>
              <w:right w:val="nil"/>
            </w:tcBorders>
            <w:shd w:val="clear" w:color="000000" w:fill="BEEDF8"/>
            <w:noWrap/>
            <w:vAlign w:val="center"/>
          </w:tcPr>
          <w:p>
            <w:pPr>
              <w:widowControl/>
              <w:spacing w:line="320" w:lineRule="exact"/>
              <w:jc w:val="center"/>
              <w:rPr>
                <w:rFonts w:ascii="Calibri" w:hAnsi="Calibri" w:cs="宋体"/>
                <w:color w:val="000000"/>
                <w:kern w:val="0"/>
                <w:sz w:val="20"/>
                <w:szCs w:val="20"/>
              </w:rPr>
            </w:pPr>
            <w:r>
              <w:rPr>
                <w:rFonts w:ascii="Calibri" w:hAnsi="Calibri" w:cs="宋体"/>
                <w:color w:val="000000"/>
                <w:kern w:val="0"/>
                <w:sz w:val="20"/>
                <w:szCs w:val="20"/>
              </w:rPr>
              <w:t>8.7</w:t>
            </w:r>
          </w:p>
        </w:tc>
        <w:tc>
          <w:tcPr>
            <w:tcW w:w="715" w:type="dxa"/>
            <w:tcBorders>
              <w:top w:val="nil"/>
              <w:left w:val="nil"/>
              <w:bottom w:val="nil"/>
              <w:right w:val="nil"/>
            </w:tcBorders>
            <w:shd w:val="clear" w:color="000000" w:fill="BEEDF8"/>
            <w:noWrap/>
            <w:vAlign w:val="center"/>
          </w:tcPr>
          <w:p>
            <w:pPr>
              <w:widowControl/>
              <w:spacing w:line="320" w:lineRule="exact"/>
              <w:jc w:val="center"/>
              <w:rPr>
                <w:rFonts w:ascii="Calibri" w:hAnsi="Calibri" w:cs="宋体"/>
                <w:color w:val="000000"/>
                <w:kern w:val="0"/>
                <w:sz w:val="20"/>
                <w:szCs w:val="20"/>
              </w:rPr>
            </w:pPr>
            <w:r>
              <w:rPr>
                <w:rFonts w:ascii="Calibri" w:hAnsi="Calibri" w:cs="宋体"/>
                <w:color w:val="000000"/>
                <w:kern w:val="0"/>
                <w:sz w:val="20"/>
                <w:szCs w:val="20"/>
              </w:rPr>
              <w:t>8.7</w:t>
            </w:r>
          </w:p>
        </w:tc>
        <w:tc>
          <w:tcPr>
            <w:tcW w:w="716" w:type="dxa"/>
            <w:tcBorders>
              <w:top w:val="nil"/>
              <w:left w:val="nil"/>
              <w:bottom w:val="nil"/>
              <w:right w:val="nil"/>
            </w:tcBorders>
            <w:shd w:val="clear" w:color="000000" w:fill="BEEDF8"/>
            <w:noWrap/>
            <w:vAlign w:val="center"/>
          </w:tcPr>
          <w:p>
            <w:pPr>
              <w:widowControl/>
              <w:spacing w:line="320" w:lineRule="exact"/>
              <w:jc w:val="center"/>
              <w:rPr>
                <w:rFonts w:ascii="Calibri" w:hAnsi="Calibri" w:cs="宋体"/>
                <w:color w:val="000000"/>
                <w:kern w:val="0"/>
                <w:sz w:val="20"/>
                <w:szCs w:val="20"/>
              </w:rPr>
            </w:pPr>
            <w:r>
              <w:rPr>
                <w:rFonts w:ascii="Calibri" w:hAnsi="Calibri" w:cs="宋体"/>
                <w:color w:val="000000"/>
                <w:kern w:val="0"/>
                <w:sz w:val="20"/>
                <w:szCs w:val="20"/>
              </w:rPr>
              <w:t>34.8</w:t>
            </w:r>
          </w:p>
        </w:tc>
        <w:tc>
          <w:tcPr>
            <w:tcW w:w="716" w:type="dxa"/>
            <w:tcBorders>
              <w:top w:val="nil"/>
              <w:left w:val="nil"/>
              <w:bottom w:val="nil"/>
              <w:right w:val="nil"/>
            </w:tcBorders>
            <w:shd w:val="clear" w:color="000000" w:fill="BEEDF8"/>
            <w:noWrap/>
            <w:vAlign w:val="center"/>
          </w:tcPr>
          <w:p>
            <w:pPr>
              <w:widowControl/>
              <w:spacing w:line="320" w:lineRule="exact"/>
              <w:jc w:val="center"/>
              <w:rPr>
                <w:rFonts w:ascii="Calibri" w:hAnsi="Calibri" w:cs="宋体"/>
                <w:color w:val="000000"/>
                <w:kern w:val="0"/>
                <w:sz w:val="20"/>
                <w:szCs w:val="20"/>
              </w:rPr>
            </w:pPr>
            <w:r>
              <w:rPr>
                <w:rFonts w:ascii="Calibri" w:hAnsi="Calibri" w:cs="宋体"/>
                <w:color w:val="000000"/>
                <w:kern w:val="0"/>
                <w:sz w:val="20"/>
                <w:szCs w:val="20"/>
              </w:rPr>
              <w:t>39.1</w:t>
            </w:r>
          </w:p>
        </w:tc>
        <w:tc>
          <w:tcPr>
            <w:tcW w:w="715" w:type="dxa"/>
            <w:tcBorders>
              <w:top w:val="nil"/>
              <w:left w:val="nil"/>
              <w:bottom w:val="nil"/>
              <w:right w:val="nil"/>
            </w:tcBorders>
            <w:shd w:val="clear" w:color="000000" w:fill="BEEDF8"/>
            <w:noWrap/>
            <w:vAlign w:val="center"/>
          </w:tcPr>
          <w:p>
            <w:pPr>
              <w:widowControl/>
              <w:spacing w:line="320" w:lineRule="exact"/>
              <w:jc w:val="center"/>
              <w:rPr>
                <w:rFonts w:ascii="Calibri" w:hAnsi="Calibri" w:cs="宋体"/>
                <w:color w:val="000000"/>
                <w:kern w:val="0"/>
                <w:sz w:val="20"/>
                <w:szCs w:val="20"/>
              </w:rPr>
            </w:pPr>
            <w:r>
              <w:rPr>
                <w:rFonts w:ascii="Calibri" w:hAnsi="Calibri" w:cs="宋体"/>
                <w:color w:val="000000"/>
                <w:kern w:val="0"/>
                <w:sz w:val="20"/>
                <w:szCs w:val="20"/>
              </w:rPr>
              <w:t>0.0</w:t>
            </w:r>
          </w:p>
        </w:tc>
        <w:tc>
          <w:tcPr>
            <w:tcW w:w="716" w:type="dxa"/>
            <w:tcBorders>
              <w:top w:val="nil"/>
              <w:left w:val="nil"/>
              <w:bottom w:val="nil"/>
              <w:right w:val="nil"/>
            </w:tcBorders>
            <w:shd w:val="clear" w:color="000000" w:fill="BEEDF8"/>
            <w:noWrap/>
            <w:vAlign w:val="center"/>
          </w:tcPr>
          <w:p>
            <w:pPr>
              <w:widowControl/>
              <w:spacing w:line="320" w:lineRule="exact"/>
              <w:jc w:val="center"/>
              <w:rPr>
                <w:rFonts w:ascii="Calibri" w:hAnsi="Calibri" w:cs="宋体"/>
                <w:color w:val="000000"/>
                <w:kern w:val="0"/>
                <w:sz w:val="20"/>
                <w:szCs w:val="20"/>
              </w:rPr>
            </w:pPr>
            <w:r>
              <w:rPr>
                <w:rFonts w:ascii="Calibri" w:hAnsi="Calibri" w:cs="宋体"/>
                <w:color w:val="000000"/>
                <w:kern w:val="0"/>
                <w:sz w:val="20"/>
                <w:szCs w:val="20"/>
              </w:rPr>
              <w:t>0.0</w:t>
            </w:r>
          </w:p>
        </w:tc>
        <w:tc>
          <w:tcPr>
            <w:tcW w:w="715" w:type="dxa"/>
            <w:tcBorders>
              <w:top w:val="nil"/>
              <w:left w:val="nil"/>
              <w:bottom w:val="nil"/>
              <w:right w:val="nil"/>
            </w:tcBorders>
            <w:shd w:val="clear" w:color="000000" w:fill="BEEDF8"/>
            <w:noWrap/>
            <w:vAlign w:val="center"/>
          </w:tcPr>
          <w:p>
            <w:pPr>
              <w:widowControl/>
              <w:spacing w:line="320" w:lineRule="exact"/>
              <w:jc w:val="center"/>
              <w:rPr>
                <w:rFonts w:ascii="Calibri" w:hAnsi="Calibri" w:cs="宋体"/>
                <w:color w:val="000000"/>
                <w:kern w:val="0"/>
                <w:sz w:val="20"/>
                <w:szCs w:val="20"/>
              </w:rPr>
            </w:pPr>
            <w:r>
              <w:rPr>
                <w:rFonts w:ascii="Calibri" w:hAnsi="Calibri" w:cs="宋体"/>
                <w:color w:val="000000"/>
                <w:kern w:val="0"/>
                <w:sz w:val="20"/>
                <w:szCs w:val="20"/>
              </w:rPr>
              <w:t>0.0</w:t>
            </w:r>
          </w:p>
        </w:tc>
        <w:tc>
          <w:tcPr>
            <w:tcW w:w="716" w:type="dxa"/>
            <w:tcBorders>
              <w:top w:val="nil"/>
              <w:left w:val="nil"/>
              <w:bottom w:val="nil"/>
              <w:right w:val="nil"/>
            </w:tcBorders>
            <w:shd w:val="clear" w:color="000000" w:fill="BEEDF8"/>
            <w:noWrap/>
            <w:vAlign w:val="center"/>
          </w:tcPr>
          <w:p>
            <w:pPr>
              <w:widowControl/>
              <w:spacing w:line="320" w:lineRule="exact"/>
              <w:jc w:val="center"/>
              <w:rPr>
                <w:rFonts w:ascii="Calibri" w:hAnsi="Calibri" w:cs="宋体"/>
                <w:color w:val="000000"/>
                <w:kern w:val="0"/>
                <w:sz w:val="20"/>
                <w:szCs w:val="20"/>
              </w:rPr>
            </w:pPr>
            <w:r>
              <w:rPr>
                <w:rFonts w:ascii="Calibri" w:hAnsi="Calibri" w:cs="宋体"/>
                <w:color w:val="000000"/>
                <w:kern w:val="0"/>
                <w:sz w:val="20"/>
                <w:szCs w:val="20"/>
              </w:rPr>
              <w:t>0.0</w:t>
            </w:r>
          </w:p>
        </w:tc>
        <w:tc>
          <w:tcPr>
            <w:tcW w:w="716" w:type="dxa"/>
            <w:tcBorders>
              <w:top w:val="nil"/>
              <w:left w:val="nil"/>
              <w:bottom w:val="nil"/>
              <w:right w:val="nil"/>
            </w:tcBorders>
            <w:shd w:val="clear" w:color="000000" w:fill="BEEDF8"/>
            <w:noWrap/>
            <w:vAlign w:val="center"/>
          </w:tcPr>
          <w:p>
            <w:pPr>
              <w:widowControl/>
              <w:spacing w:line="320" w:lineRule="exact"/>
              <w:jc w:val="center"/>
              <w:rPr>
                <w:rFonts w:ascii="Calibri" w:hAnsi="Calibri" w:cs="宋体"/>
                <w:color w:val="000000"/>
                <w:kern w:val="0"/>
                <w:sz w:val="20"/>
                <w:szCs w:val="20"/>
              </w:rPr>
            </w:pPr>
            <w:r>
              <w:rPr>
                <w:rFonts w:ascii="Calibri" w:hAnsi="Calibri" w:cs="宋体"/>
                <w:color w:val="000000"/>
                <w:kern w:val="0"/>
                <w:sz w:val="20"/>
                <w:szCs w:val="20"/>
              </w:rPr>
              <w:t>2.2</w:t>
            </w:r>
          </w:p>
        </w:tc>
      </w:tr>
      <w:tr>
        <w:tblPrEx>
          <w:tblCellMar>
            <w:top w:w="0" w:type="dxa"/>
            <w:left w:w="108" w:type="dxa"/>
            <w:bottom w:w="0" w:type="dxa"/>
            <w:right w:w="108" w:type="dxa"/>
          </w:tblCellMar>
        </w:tblPrEx>
        <w:trPr>
          <w:trHeight w:val="270" w:hRule="atLeast"/>
          <w:jc w:val="center"/>
        </w:trPr>
        <w:tc>
          <w:tcPr>
            <w:tcW w:w="1734" w:type="dxa"/>
            <w:tcBorders>
              <w:top w:val="nil"/>
              <w:left w:val="nil"/>
              <w:bottom w:val="nil"/>
              <w:right w:val="nil"/>
            </w:tcBorders>
            <w:shd w:val="clear" w:color="000000" w:fill="FFFFFF"/>
            <w:noWrap/>
            <w:vAlign w:val="center"/>
          </w:tcPr>
          <w:p>
            <w:pPr>
              <w:widowControl/>
              <w:spacing w:line="320" w:lineRule="exact"/>
              <w:jc w:val="left"/>
              <w:rPr>
                <w:rFonts w:ascii="Calibri" w:hAnsi="Calibri" w:cs="宋体"/>
                <w:color w:val="000000"/>
                <w:kern w:val="0"/>
                <w:sz w:val="20"/>
                <w:szCs w:val="20"/>
              </w:rPr>
            </w:pPr>
            <w:r>
              <w:rPr>
                <w:rFonts w:ascii="Calibri" w:hAnsi="Calibri" w:cs="宋体"/>
                <w:color w:val="000000"/>
                <w:kern w:val="0"/>
                <w:sz w:val="20"/>
                <w:szCs w:val="20"/>
              </w:rPr>
              <w:t>物流管理</w:t>
            </w:r>
          </w:p>
        </w:tc>
        <w:tc>
          <w:tcPr>
            <w:tcW w:w="715" w:type="dxa"/>
            <w:tcBorders>
              <w:top w:val="nil"/>
              <w:left w:val="nil"/>
              <w:bottom w:val="nil"/>
              <w:right w:val="nil"/>
            </w:tcBorders>
            <w:shd w:val="clear" w:color="000000" w:fill="FFFFFF"/>
            <w:noWrap/>
            <w:vAlign w:val="center"/>
          </w:tcPr>
          <w:p>
            <w:pPr>
              <w:widowControl/>
              <w:spacing w:line="320" w:lineRule="exact"/>
              <w:jc w:val="center"/>
              <w:rPr>
                <w:rFonts w:ascii="Calibri" w:hAnsi="Calibri" w:cs="宋体"/>
                <w:color w:val="000000"/>
                <w:kern w:val="0"/>
                <w:sz w:val="20"/>
                <w:szCs w:val="20"/>
              </w:rPr>
            </w:pPr>
            <w:r>
              <w:rPr>
                <w:rFonts w:ascii="Calibri" w:hAnsi="Calibri" w:cs="宋体"/>
                <w:color w:val="000000"/>
                <w:kern w:val="0"/>
                <w:sz w:val="20"/>
                <w:szCs w:val="20"/>
              </w:rPr>
              <w:t>0.0</w:t>
            </w:r>
          </w:p>
        </w:tc>
        <w:tc>
          <w:tcPr>
            <w:tcW w:w="716" w:type="dxa"/>
            <w:tcBorders>
              <w:top w:val="nil"/>
              <w:left w:val="nil"/>
              <w:bottom w:val="nil"/>
              <w:right w:val="nil"/>
            </w:tcBorders>
            <w:shd w:val="clear" w:color="000000" w:fill="FFFFFF"/>
            <w:noWrap/>
            <w:vAlign w:val="center"/>
          </w:tcPr>
          <w:p>
            <w:pPr>
              <w:widowControl/>
              <w:spacing w:line="320" w:lineRule="exact"/>
              <w:jc w:val="center"/>
              <w:rPr>
                <w:rFonts w:ascii="Calibri" w:hAnsi="Calibri" w:cs="宋体"/>
                <w:color w:val="000000"/>
                <w:kern w:val="0"/>
                <w:sz w:val="20"/>
                <w:szCs w:val="20"/>
              </w:rPr>
            </w:pPr>
            <w:r>
              <w:rPr>
                <w:rFonts w:ascii="Calibri" w:hAnsi="Calibri" w:cs="宋体"/>
                <w:color w:val="000000"/>
                <w:kern w:val="0"/>
                <w:sz w:val="20"/>
                <w:szCs w:val="20"/>
              </w:rPr>
              <w:t>0.0</w:t>
            </w:r>
          </w:p>
        </w:tc>
        <w:tc>
          <w:tcPr>
            <w:tcW w:w="715" w:type="dxa"/>
            <w:tcBorders>
              <w:top w:val="nil"/>
              <w:left w:val="nil"/>
              <w:bottom w:val="nil"/>
              <w:right w:val="nil"/>
            </w:tcBorders>
            <w:shd w:val="clear" w:color="000000" w:fill="FFFFFF"/>
            <w:noWrap/>
            <w:vAlign w:val="center"/>
          </w:tcPr>
          <w:p>
            <w:pPr>
              <w:widowControl/>
              <w:spacing w:line="320" w:lineRule="exact"/>
              <w:jc w:val="center"/>
              <w:rPr>
                <w:rFonts w:ascii="Calibri" w:hAnsi="Calibri" w:cs="宋体"/>
                <w:color w:val="000000"/>
                <w:kern w:val="0"/>
                <w:sz w:val="20"/>
                <w:szCs w:val="20"/>
              </w:rPr>
            </w:pPr>
            <w:r>
              <w:rPr>
                <w:rFonts w:ascii="Calibri" w:hAnsi="Calibri" w:cs="宋体"/>
                <w:color w:val="000000"/>
                <w:kern w:val="0"/>
                <w:sz w:val="20"/>
                <w:szCs w:val="20"/>
              </w:rPr>
              <w:t>75.0</w:t>
            </w:r>
          </w:p>
        </w:tc>
        <w:tc>
          <w:tcPr>
            <w:tcW w:w="716" w:type="dxa"/>
            <w:tcBorders>
              <w:top w:val="nil"/>
              <w:left w:val="nil"/>
              <w:bottom w:val="nil"/>
              <w:right w:val="nil"/>
            </w:tcBorders>
            <w:shd w:val="clear" w:color="000000" w:fill="FFFFFF"/>
            <w:noWrap/>
            <w:vAlign w:val="center"/>
          </w:tcPr>
          <w:p>
            <w:pPr>
              <w:widowControl/>
              <w:spacing w:line="320" w:lineRule="exact"/>
              <w:jc w:val="center"/>
              <w:rPr>
                <w:rFonts w:ascii="Calibri" w:hAnsi="Calibri" w:cs="宋体"/>
                <w:color w:val="000000"/>
                <w:kern w:val="0"/>
                <w:sz w:val="20"/>
                <w:szCs w:val="20"/>
              </w:rPr>
            </w:pPr>
            <w:r>
              <w:rPr>
                <w:rFonts w:ascii="Calibri" w:hAnsi="Calibri" w:cs="宋体"/>
                <w:color w:val="000000"/>
                <w:kern w:val="0"/>
                <w:sz w:val="20"/>
                <w:szCs w:val="20"/>
              </w:rPr>
              <w:t>0.0</w:t>
            </w:r>
          </w:p>
        </w:tc>
        <w:tc>
          <w:tcPr>
            <w:tcW w:w="716" w:type="dxa"/>
            <w:tcBorders>
              <w:top w:val="nil"/>
              <w:left w:val="nil"/>
              <w:bottom w:val="nil"/>
              <w:right w:val="nil"/>
            </w:tcBorders>
            <w:shd w:val="clear" w:color="000000" w:fill="FFFFFF"/>
            <w:noWrap/>
            <w:vAlign w:val="center"/>
          </w:tcPr>
          <w:p>
            <w:pPr>
              <w:widowControl/>
              <w:spacing w:line="320" w:lineRule="exact"/>
              <w:jc w:val="center"/>
              <w:rPr>
                <w:rFonts w:ascii="Calibri" w:hAnsi="Calibri" w:cs="宋体"/>
                <w:color w:val="000000"/>
                <w:kern w:val="0"/>
                <w:sz w:val="20"/>
                <w:szCs w:val="20"/>
              </w:rPr>
            </w:pPr>
            <w:r>
              <w:rPr>
                <w:rFonts w:ascii="Calibri" w:hAnsi="Calibri" w:cs="宋体"/>
                <w:color w:val="000000"/>
                <w:kern w:val="0"/>
                <w:sz w:val="20"/>
                <w:szCs w:val="20"/>
              </w:rPr>
              <w:t>0.0</w:t>
            </w:r>
          </w:p>
        </w:tc>
        <w:tc>
          <w:tcPr>
            <w:tcW w:w="715" w:type="dxa"/>
            <w:tcBorders>
              <w:top w:val="nil"/>
              <w:left w:val="nil"/>
              <w:bottom w:val="nil"/>
              <w:right w:val="nil"/>
            </w:tcBorders>
            <w:shd w:val="clear" w:color="000000" w:fill="FFFFFF"/>
            <w:noWrap/>
            <w:vAlign w:val="center"/>
          </w:tcPr>
          <w:p>
            <w:pPr>
              <w:widowControl/>
              <w:spacing w:line="320" w:lineRule="exact"/>
              <w:jc w:val="center"/>
              <w:rPr>
                <w:rFonts w:ascii="Calibri" w:hAnsi="Calibri" w:cs="宋体"/>
                <w:color w:val="000000"/>
                <w:kern w:val="0"/>
                <w:sz w:val="20"/>
                <w:szCs w:val="20"/>
              </w:rPr>
            </w:pPr>
            <w:r>
              <w:rPr>
                <w:rFonts w:ascii="Calibri" w:hAnsi="Calibri" w:cs="宋体"/>
                <w:color w:val="000000"/>
                <w:kern w:val="0"/>
                <w:sz w:val="20"/>
                <w:szCs w:val="20"/>
              </w:rPr>
              <w:t>5.0</w:t>
            </w:r>
          </w:p>
        </w:tc>
        <w:tc>
          <w:tcPr>
            <w:tcW w:w="716" w:type="dxa"/>
            <w:tcBorders>
              <w:top w:val="nil"/>
              <w:left w:val="nil"/>
              <w:bottom w:val="nil"/>
              <w:right w:val="nil"/>
            </w:tcBorders>
            <w:shd w:val="clear" w:color="000000" w:fill="FFFFFF"/>
            <w:noWrap/>
            <w:vAlign w:val="center"/>
          </w:tcPr>
          <w:p>
            <w:pPr>
              <w:widowControl/>
              <w:spacing w:line="320" w:lineRule="exact"/>
              <w:jc w:val="center"/>
              <w:rPr>
                <w:rFonts w:ascii="Calibri" w:hAnsi="Calibri" w:cs="宋体"/>
                <w:color w:val="000000"/>
                <w:kern w:val="0"/>
                <w:sz w:val="20"/>
                <w:szCs w:val="20"/>
              </w:rPr>
            </w:pPr>
            <w:r>
              <w:rPr>
                <w:rFonts w:ascii="Calibri" w:hAnsi="Calibri" w:cs="宋体"/>
                <w:color w:val="000000"/>
                <w:kern w:val="0"/>
                <w:sz w:val="20"/>
                <w:szCs w:val="20"/>
              </w:rPr>
              <w:t>0.0</w:t>
            </w:r>
          </w:p>
        </w:tc>
        <w:tc>
          <w:tcPr>
            <w:tcW w:w="715" w:type="dxa"/>
            <w:tcBorders>
              <w:top w:val="nil"/>
              <w:left w:val="nil"/>
              <w:bottom w:val="nil"/>
              <w:right w:val="nil"/>
            </w:tcBorders>
            <w:shd w:val="clear" w:color="000000" w:fill="FFFFFF"/>
            <w:noWrap/>
            <w:vAlign w:val="center"/>
          </w:tcPr>
          <w:p>
            <w:pPr>
              <w:widowControl/>
              <w:spacing w:line="320" w:lineRule="exact"/>
              <w:jc w:val="center"/>
              <w:rPr>
                <w:rFonts w:ascii="Calibri" w:hAnsi="Calibri" w:cs="宋体"/>
                <w:color w:val="000000"/>
                <w:kern w:val="0"/>
                <w:sz w:val="20"/>
                <w:szCs w:val="20"/>
              </w:rPr>
            </w:pPr>
            <w:r>
              <w:rPr>
                <w:rFonts w:ascii="Calibri" w:hAnsi="Calibri" w:cs="宋体"/>
                <w:color w:val="000000"/>
                <w:kern w:val="0"/>
                <w:sz w:val="20"/>
                <w:szCs w:val="20"/>
              </w:rPr>
              <w:t>10.0</w:t>
            </w:r>
          </w:p>
        </w:tc>
        <w:tc>
          <w:tcPr>
            <w:tcW w:w="716" w:type="dxa"/>
            <w:tcBorders>
              <w:top w:val="nil"/>
              <w:left w:val="nil"/>
              <w:bottom w:val="nil"/>
              <w:right w:val="nil"/>
            </w:tcBorders>
            <w:shd w:val="clear" w:color="000000" w:fill="FFFFFF"/>
            <w:noWrap/>
            <w:vAlign w:val="center"/>
          </w:tcPr>
          <w:p>
            <w:pPr>
              <w:widowControl/>
              <w:spacing w:line="320" w:lineRule="exact"/>
              <w:jc w:val="center"/>
              <w:rPr>
                <w:rFonts w:ascii="Calibri" w:hAnsi="Calibri" w:cs="宋体"/>
                <w:color w:val="000000"/>
                <w:kern w:val="0"/>
                <w:sz w:val="20"/>
                <w:szCs w:val="20"/>
              </w:rPr>
            </w:pPr>
            <w:r>
              <w:rPr>
                <w:rFonts w:ascii="Calibri" w:hAnsi="Calibri" w:cs="宋体"/>
                <w:color w:val="000000"/>
                <w:kern w:val="0"/>
                <w:sz w:val="20"/>
                <w:szCs w:val="20"/>
              </w:rPr>
              <w:t>0.0</w:t>
            </w:r>
          </w:p>
        </w:tc>
        <w:tc>
          <w:tcPr>
            <w:tcW w:w="716" w:type="dxa"/>
            <w:tcBorders>
              <w:top w:val="nil"/>
              <w:left w:val="nil"/>
              <w:bottom w:val="nil"/>
              <w:right w:val="nil"/>
            </w:tcBorders>
            <w:shd w:val="clear" w:color="000000" w:fill="FFFFFF"/>
            <w:noWrap/>
            <w:vAlign w:val="center"/>
          </w:tcPr>
          <w:p>
            <w:pPr>
              <w:widowControl/>
              <w:spacing w:line="320" w:lineRule="exact"/>
              <w:jc w:val="center"/>
              <w:rPr>
                <w:rFonts w:ascii="Calibri" w:hAnsi="Calibri" w:cs="宋体"/>
                <w:color w:val="000000"/>
                <w:kern w:val="0"/>
                <w:sz w:val="20"/>
                <w:szCs w:val="20"/>
              </w:rPr>
            </w:pPr>
            <w:r>
              <w:rPr>
                <w:rFonts w:ascii="Calibri" w:hAnsi="Calibri" w:cs="宋体"/>
                <w:color w:val="000000"/>
                <w:kern w:val="0"/>
                <w:sz w:val="20"/>
                <w:szCs w:val="20"/>
              </w:rPr>
              <w:t>10.0</w:t>
            </w:r>
          </w:p>
        </w:tc>
      </w:tr>
      <w:tr>
        <w:tblPrEx>
          <w:tblCellMar>
            <w:top w:w="0" w:type="dxa"/>
            <w:left w:w="108" w:type="dxa"/>
            <w:bottom w:w="0" w:type="dxa"/>
            <w:right w:w="108" w:type="dxa"/>
          </w:tblCellMar>
        </w:tblPrEx>
        <w:trPr>
          <w:trHeight w:val="270" w:hRule="atLeast"/>
          <w:jc w:val="center"/>
        </w:trPr>
        <w:tc>
          <w:tcPr>
            <w:tcW w:w="1734" w:type="dxa"/>
            <w:tcBorders>
              <w:top w:val="nil"/>
              <w:left w:val="nil"/>
              <w:bottom w:val="nil"/>
              <w:right w:val="nil"/>
            </w:tcBorders>
            <w:shd w:val="clear" w:color="000000" w:fill="BEEDF8"/>
            <w:noWrap/>
            <w:vAlign w:val="center"/>
          </w:tcPr>
          <w:p>
            <w:pPr>
              <w:widowControl/>
              <w:spacing w:line="320" w:lineRule="exact"/>
              <w:jc w:val="left"/>
              <w:rPr>
                <w:rFonts w:ascii="Calibri" w:hAnsi="Calibri" w:cs="宋体"/>
                <w:color w:val="000000"/>
                <w:kern w:val="0"/>
                <w:sz w:val="20"/>
                <w:szCs w:val="20"/>
              </w:rPr>
            </w:pPr>
            <w:r>
              <w:rPr>
                <w:rFonts w:ascii="Calibri" w:hAnsi="Calibri" w:cs="宋体"/>
                <w:color w:val="000000"/>
                <w:kern w:val="0"/>
                <w:sz w:val="20"/>
                <w:szCs w:val="20"/>
              </w:rPr>
              <w:t>应用泰语</w:t>
            </w:r>
          </w:p>
        </w:tc>
        <w:tc>
          <w:tcPr>
            <w:tcW w:w="715" w:type="dxa"/>
            <w:tcBorders>
              <w:top w:val="nil"/>
              <w:left w:val="nil"/>
              <w:bottom w:val="nil"/>
              <w:right w:val="nil"/>
            </w:tcBorders>
            <w:shd w:val="clear" w:color="000000" w:fill="BEEDF8"/>
            <w:noWrap/>
            <w:vAlign w:val="center"/>
          </w:tcPr>
          <w:p>
            <w:pPr>
              <w:widowControl/>
              <w:spacing w:line="320" w:lineRule="exact"/>
              <w:jc w:val="center"/>
              <w:rPr>
                <w:rFonts w:ascii="Calibri" w:hAnsi="Calibri" w:cs="宋体"/>
                <w:color w:val="000000"/>
                <w:kern w:val="0"/>
                <w:sz w:val="20"/>
                <w:szCs w:val="20"/>
              </w:rPr>
            </w:pPr>
            <w:r>
              <w:rPr>
                <w:rFonts w:ascii="Calibri" w:hAnsi="Calibri" w:cs="宋体"/>
                <w:color w:val="000000"/>
                <w:kern w:val="0"/>
                <w:sz w:val="20"/>
                <w:szCs w:val="20"/>
              </w:rPr>
              <w:t>0.0</w:t>
            </w:r>
          </w:p>
        </w:tc>
        <w:tc>
          <w:tcPr>
            <w:tcW w:w="716" w:type="dxa"/>
            <w:tcBorders>
              <w:top w:val="nil"/>
              <w:left w:val="nil"/>
              <w:bottom w:val="nil"/>
              <w:right w:val="nil"/>
            </w:tcBorders>
            <w:shd w:val="clear" w:color="000000" w:fill="BEEDF8"/>
            <w:noWrap/>
            <w:vAlign w:val="center"/>
          </w:tcPr>
          <w:p>
            <w:pPr>
              <w:widowControl/>
              <w:spacing w:line="320" w:lineRule="exact"/>
              <w:jc w:val="center"/>
              <w:rPr>
                <w:rFonts w:ascii="Calibri" w:hAnsi="Calibri" w:cs="宋体"/>
                <w:color w:val="000000"/>
                <w:kern w:val="0"/>
                <w:sz w:val="20"/>
                <w:szCs w:val="20"/>
              </w:rPr>
            </w:pPr>
            <w:r>
              <w:rPr>
                <w:rFonts w:ascii="Calibri" w:hAnsi="Calibri" w:cs="宋体"/>
                <w:color w:val="000000"/>
                <w:kern w:val="0"/>
                <w:sz w:val="20"/>
                <w:szCs w:val="20"/>
              </w:rPr>
              <w:t>0.0</w:t>
            </w:r>
          </w:p>
        </w:tc>
        <w:tc>
          <w:tcPr>
            <w:tcW w:w="715" w:type="dxa"/>
            <w:tcBorders>
              <w:top w:val="nil"/>
              <w:left w:val="nil"/>
              <w:bottom w:val="nil"/>
              <w:right w:val="nil"/>
            </w:tcBorders>
            <w:shd w:val="clear" w:color="000000" w:fill="BEEDF8"/>
            <w:noWrap/>
            <w:vAlign w:val="center"/>
          </w:tcPr>
          <w:p>
            <w:pPr>
              <w:widowControl/>
              <w:spacing w:line="320" w:lineRule="exact"/>
              <w:jc w:val="center"/>
              <w:rPr>
                <w:rFonts w:ascii="Calibri" w:hAnsi="Calibri" w:cs="宋体"/>
                <w:color w:val="000000"/>
                <w:kern w:val="0"/>
                <w:sz w:val="20"/>
                <w:szCs w:val="20"/>
              </w:rPr>
            </w:pPr>
            <w:r>
              <w:rPr>
                <w:rFonts w:ascii="Calibri" w:hAnsi="Calibri" w:cs="宋体"/>
                <w:color w:val="000000"/>
                <w:kern w:val="0"/>
                <w:sz w:val="20"/>
                <w:szCs w:val="20"/>
              </w:rPr>
              <w:t>5.9</w:t>
            </w:r>
          </w:p>
        </w:tc>
        <w:tc>
          <w:tcPr>
            <w:tcW w:w="716" w:type="dxa"/>
            <w:tcBorders>
              <w:top w:val="nil"/>
              <w:left w:val="nil"/>
              <w:bottom w:val="nil"/>
              <w:right w:val="nil"/>
            </w:tcBorders>
            <w:shd w:val="clear" w:color="000000" w:fill="BEEDF8"/>
            <w:noWrap/>
            <w:vAlign w:val="center"/>
          </w:tcPr>
          <w:p>
            <w:pPr>
              <w:widowControl/>
              <w:spacing w:line="320" w:lineRule="exact"/>
              <w:jc w:val="center"/>
              <w:rPr>
                <w:rFonts w:ascii="Calibri" w:hAnsi="Calibri" w:cs="宋体"/>
                <w:color w:val="000000"/>
                <w:kern w:val="0"/>
                <w:sz w:val="20"/>
                <w:szCs w:val="20"/>
              </w:rPr>
            </w:pPr>
            <w:r>
              <w:rPr>
                <w:rFonts w:ascii="Calibri" w:hAnsi="Calibri" w:cs="宋体"/>
                <w:color w:val="000000"/>
                <w:kern w:val="0"/>
                <w:sz w:val="20"/>
                <w:szCs w:val="20"/>
              </w:rPr>
              <w:t>0.0</w:t>
            </w:r>
          </w:p>
        </w:tc>
        <w:tc>
          <w:tcPr>
            <w:tcW w:w="716" w:type="dxa"/>
            <w:tcBorders>
              <w:top w:val="nil"/>
              <w:left w:val="nil"/>
              <w:bottom w:val="nil"/>
              <w:right w:val="nil"/>
            </w:tcBorders>
            <w:shd w:val="clear" w:color="000000" w:fill="BEEDF8"/>
            <w:noWrap/>
            <w:vAlign w:val="center"/>
          </w:tcPr>
          <w:p>
            <w:pPr>
              <w:widowControl/>
              <w:spacing w:line="320" w:lineRule="exact"/>
              <w:jc w:val="center"/>
              <w:rPr>
                <w:rFonts w:ascii="Calibri" w:hAnsi="Calibri" w:cs="宋体"/>
                <w:color w:val="000000"/>
                <w:kern w:val="0"/>
                <w:sz w:val="20"/>
                <w:szCs w:val="20"/>
              </w:rPr>
            </w:pPr>
            <w:r>
              <w:rPr>
                <w:rFonts w:ascii="Calibri" w:hAnsi="Calibri" w:cs="宋体"/>
                <w:color w:val="000000"/>
                <w:kern w:val="0"/>
                <w:sz w:val="20"/>
                <w:szCs w:val="20"/>
              </w:rPr>
              <w:t>94.1</w:t>
            </w:r>
          </w:p>
        </w:tc>
        <w:tc>
          <w:tcPr>
            <w:tcW w:w="715" w:type="dxa"/>
            <w:tcBorders>
              <w:top w:val="nil"/>
              <w:left w:val="nil"/>
              <w:bottom w:val="nil"/>
              <w:right w:val="nil"/>
            </w:tcBorders>
            <w:shd w:val="clear" w:color="000000" w:fill="BEEDF8"/>
            <w:noWrap/>
            <w:vAlign w:val="center"/>
          </w:tcPr>
          <w:p>
            <w:pPr>
              <w:widowControl/>
              <w:spacing w:line="320" w:lineRule="exact"/>
              <w:jc w:val="center"/>
              <w:rPr>
                <w:rFonts w:ascii="Calibri" w:hAnsi="Calibri" w:cs="宋体"/>
                <w:color w:val="000000"/>
                <w:kern w:val="0"/>
                <w:sz w:val="20"/>
                <w:szCs w:val="20"/>
              </w:rPr>
            </w:pPr>
            <w:r>
              <w:rPr>
                <w:rFonts w:ascii="Calibri" w:hAnsi="Calibri" w:cs="宋体"/>
                <w:color w:val="000000"/>
                <w:kern w:val="0"/>
                <w:sz w:val="20"/>
                <w:szCs w:val="20"/>
              </w:rPr>
              <w:t>0.0</w:t>
            </w:r>
          </w:p>
        </w:tc>
        <w:tc>
          <w:tcPr>
            <w:tcW w:w="716" w:type="dxa"/>
            <w:tcBorders>
              <w:top w:val="nil"/>
              <w:left w:val="nil"/>
              <w:bottom w:val="nil"/>
              <w:right w:val="nil"/>
            </w:tcBorders>
            <w:shd w:val="clear" w:color="000000" w:fill="BEEDF8"/>
            <w:noWrap/>
            <w:vAlign w:val="center"/>
          </w:tcPr>
          <w:p>
            <w:pPr>
              <w:widowControl/>
              <w:spacing w:line="320" w:lineRule="exact"/>
              <w:jc w:val="center"/>
              <w:rPr>
                <w:rFonts w:ascii="Calibri" w:hAnsi="Calibri" w:cs="宋体"/>
                <w:color w:val="000000"/>
                <w:kern w:val="0"/>
                <w:sz w:val="20"/>
                <w:szCs w:val="20"/>
              </w:rPr>
            </w:pPr>
            <w:r>
              <w:rPr>
                <w:rFonts w:ascii="Calibri" w:hAnsi="Calibri" w:cs="宋体"/>
                <w:color w:val="000000"/>
                <w:kern w:val="0"/>
                <w:sz w:val="20"/>
                <w:szCs w:val="20"/>
              </w:rPr>
              <w:t>0.0</w:t>
            </w:r>
          </w:p>
        </w:tc>
        <w:tc>
          <w:tcPr>
            <w:tcW w:w="715" w:type="dxa"/>
            <w:tcBorders>
              <w:top w:val="nil"/>
              <w:left w:val="nil"/>
              <w:bottom w:val="nil"/>
              <w:right w:val="nil"/>
            </w:tcBorders>
            <w:shd w:val="clear" w:color="000000" w:fill="BEEDF8"/>
            <w:noWrap/>
            <w:vAlign w:val="center"/>
          </w:tcPr>
          <w:p>
            <w:pPr>
              <w:widowControl/>
              <w:spacing w:line="320" w:lineRule="exact"/>
              <w:jc w:val="center"/>
              <w:rPr>
                <w:rFonts w:ascii="Calibri" w:hAnsi="Calibri" w:cs="宋体"/>
                <w:color w:val="000000"/>
                <w:kern w:val="0"/>
                <w:sz w:val="20"/>
                <w:szCs w:val="20"/>
              </w:rPr>
            </w:pPr>
            <w:r>
              <w:rPr>
                <w:rFonts w:ascii="Calibri" w:hAnsi="Calibri" w:cs="宋体"/>
                <w:color w:val="000000"/>
                <w:kern w:val="0"/>
                <w:sz w:val="20"/>
                <w:szCs w:val="20"/>
              </w:rPr>
              <w:t>0.0</w:t>
            </w:r>
          </w:p>
        </w:tc>
        <w:tc>
          <w:tcPr>
            <w:tcW w:w="716" w:type="dxa"/>
            <w:tcBorders>
              <w:top w:val="nil"/>
              <w:left w:val="nil"/>
              <w:bottom w:val="nil"/>
              <w:right w:val="nil"/>
            </w:tcBorders>
            <w:shd w:val="clear" w:color="000000" w:fill="BEEDF8"/>
            <w:noWrap/>
            <w:vAlign w:val="center"/>
          </w:tcPr>
          <w:p>
            <w:pPr>
              <w:widowControl/>
              <w:spacing w:line="320" w:lineRule="exact"/>
              <w:jc w:val="center"/>
              <w:rPr>
                <w:rFonts w:ascii="Calibri" w:hAnsi="Calibri" w:cs="宋体"/>
                <w:color w:val="000000"/>
                <w:kern w:val="0"/>
                <w:sz w:val="20"/>
                <w:szCs w:val="20"/>
              </w:rPr>
            </w:pPr>
            <w:r>
              <w:rPr>
                <w:rFonts w:ascii="Calibri" w:hAnsi="Calibri" w:cs="宋体"/>
                <w:color w:val="000000"/>
                <w:kern w:val="0"/>
                <w:sz w:val="20"/>
                <w:szCs w:val="20"/>
              </w:rPr>
              <w:t>0.0</w:t>
            </w:r>
          </w:p>
        </w:tc>
        <w:tc>
          <w:tcPr>
            <w:tcW w:w="716" w:type="dxa"/>
            <w:tcBorders>
              <w:top w:val="nil"/>
              <w:left w:val="nil"/>
              <w:bottom w:val="nil"/>
              <w:right w:val="nil"/>
            </w:tcBorders>
            <w:shd w:val="clear" w:color="000000" w:fill="BEEDF8"/>
            <w:noWrap/>
            <w:vAlign w:val="center"/>
          </w:tcPr>
          <w:p>
            <w:pPr>
              <w:widowControl/>
              <w:spacing w:line="320" w:lineRule="exact"/>
              <w:jc w:val="center"/>
              <w:rPr>
                <w:rFonts w:ascii="Calibri" w:hAnsi="Calibri" w:cs="宋体"/>
                <w:color w:val="000000"/>
                <w:kern w:val="0"/>
                <w:sz w:val="20"/>
                <w:szCs w:val="20"/>
              </w:rPr>
            </w:pPr>
            <w:r>
              <w:rPr>
                <w:rFonts w:ascii="Calibri" w:hAnsi="Calibri" w:cs="宋体"/>
                <w:color w:val="000000"/>
                <w:kern w:val="0"/>
                <w:sz w:val="20"/>
                <w:szCs w:val="20"/>
              </w:rPr>
              <w:t>0.0</w:t>
            </w:r>
          </w:p>
        </w:tc>
      </w:tr>
      <w:tr>
        <w:tblPrEx>
          <w:tblCellMar>
            <w:top w:w="0" w:type="dxa"/>
            <w:left w:w="108" w:type="dxa"/>
            <w:bottom w:w="0" w:type="dxa"/>
            <w:right w:w="108" w:type="dxa"/>
          </w:tblCellMar>
        </w:tblPrEx>
        <w:trPr>
          <w:trHeight w:val="285" w:hRule="atLeast"/>
          <w:jc w:val="center"/>
        </w:trPr>
        <w:tc>
          <w:tcPr>
            <w:tcW w:w="1734" w:type="dxa"/>
            <w:tcBorders>
              <w:top w:val="nil"/>
              <w:left w:val="nil"/>
              <w:bottom w:val="single" w:color="57B8E7" w:sz="12" w:space="0"/>
              <w:right w:val="nil"/>
            </w:tcBorders>
            <w:shd w:val="clear" w:color="000000" w:fill="FFFFFF"/>
            <w:noWrap/>
            <w:vAlign w:val="center"/>
          </w:tcPr>
          <w:p>
            <w:pPr>
              <w:widowControl/>
              <w:spacing w:line="320" w:lineRule="exact"/>
              <w:jc w:val="left"/>
              <w:rPr>
                <w:rFonts w:ascii="Calibri" w:hAnsi="Calibri" w:cs="宋体"/>
                <w:color w:val="000000"/>
                <w:kern w:val="0"/>
                <w:sz w:val="20"/>
                <w:szCs w:val="20"/>
              </w:rPr>
            </w:pPr>
            <w:r>
              <w:rPr>
                <w:rFonts w:ascii="Calibri" w:hAnsi="Calibri" w:cs="宋体"/>
                <w:color w:val="000000"/>
                <w:kern w:val="0"/>
                <w:sz w:val="20"/>
                <w:szCs w:val="20"/>
              </w:rPr>
              <w:t>应用越南语</w:t>
            </w:r>
          </w:p>
        </w:tc>
        <w:tc>
          <w:tcPr>
            <w:tcW w:w="715" w:type="dxa"/>
            <w:tcBorders>
              <w:top w:val="nil"/>
              <w:left w:val="nil"/>
              <w:bottom w:val="single" w:color="57B8E7" w:sz="12" w:space="0"/>
              <w:right w:val="nil"/>
            </w:tcBorders>
            <w:shd w:val="clear" w:color="000000" w:fill="FFFFFF"/>
            <w:noWrap/>
            <w:vAlign w:val="center"/>
          </w:tcPr>
          <w:p>
            <w:pPr>
              <w:widowControl/>
              <w:spacing w:line="320" w:lineRule="exact"/>
              <w:jc w:val="center"/>
              <w:rPr>
                <w:rFonts w:ascii="Calibri" w:hAnsi="Calibri" w:cs="宋体"/>
                <w:color w:val="000000"/>
                <w:kern w:val="0"/>
                <w:sz w:val="20"/>
                <w:szCs w:val="20"/>
              </w:rPr>
            </w:pPr>
            <w:r>
              <w:rPr>
                <w:rFonts w:ascii="Calibri" w:hAnsi="Calibri" w:cs="宋体"/>
                <w:color w:val="000000"/>
                <w:kern w:val="0"/>
                <w:sz w:val="20"/>
                <w:szCs w:val="20"/>
              </w:rPr>
              <w:t>0.0</w:t>
            </w:r>
          </w:p>
        </w:tc>
        <w:tc>
          <w:tcPr>
            <w:tcW w:w="716" w:type="dxa"/>
            <w:tcBorders>
              <w:top w:val="nil"/>
              <w:left w:val="nil"/>
              <w:bottom w:val="single" w:color="57B8E7" w:sz="12" w:space="0"/>
              <w:right w:val="nil"/>
            </w:tcBorders>
            <w:shd w:val="clear" w:color="000000" w:fill="FFFFFF"/>
            <w:noWrap/>
            <w:vAlign w:val="center"/>
          </w:tcPr>
          <w:p>
            <w:pPr>
              <w:widowControl/>
              <w:spacing w:line="320" w:lineRule="exact"/>
              <w:jc w:val="center"/>
              <w:rPr>
                <w:rFonts w:ascii="Calibri" w:hAnsi="Calibri" w:cs="宋体"/>
                <w:color w:val="000000"/>
                <w:kern w:val="0"/>
                <w:sz w:val="20"/>
                <w:szCs w:val="20"/>
              </w:rPr>
            </w:pPr>
            <w:r>
              <w:rPr>
                <w:rFonts w:ascii="Calibri" w:hAnsi="Calibri" w:cs="宋体"/>
                <w:color w:val="000000"/>
                <w:kern w:val="0"/>
                <w:sz w:val="20"/>
                <w:szCs w:val="20"/>
              </w:rPr>
              <w:t>0.0</w:t>
            </w:r>
          </w:p>
        </w:tc>
        <w:tc>
          <w:tcPr>
            <w:tcW w:w="715" w:type="dxa"/>
            <w:tcBorders>
              <w:top w:val="nil"/>
              <w:left w:val="nil"/>
              <w:bottom w:val="single" w:color="57B8E7" w:sz="12" w:space="0"/>
              <w:right w:val="nil"/>
            </w:tcBorders>
            <w:shd w:val="clear" w:color="000000" w:fill="FFFFFF"/>
            <w:noWrap/>
            <w:vAlign w:val="center"/>
          </w:tcPr>
          <w:p>
            <w:pPr>
              <w:widowControl/>
              <w:spacing w:line="320" w:lineRule="exact"/>
              <w:jc w:val="center"/>
              <w:rPr>
                <w:rFonts w:ascii="Calibri" w:hAnsi="Calibri" w:cs="宋体"/>
                <w:color w:val="000000"/>
                <w:kern w:val="0"/>
                <w:sz w:val="20"/>
                <w:szCs w:val="20"/>
              </w:rPr>
            </w:pPr>
            <w:r>
              <w:rPr>
                <w:rFonts w:ascii="Calibri" w:hAnsi="Calibri" w:cs="宋体"/>
                <w:color w:val="000000"/>
                <w:kern w:val="0"/>
                <w:sz w:val="20"/>
                <w:szCs w:val="20"/>
              </w:rPr>
              <w:t>0.0</w:t>
            </w:r>
          </w:p>
        </w:tc>
        <w:tc>
          <w:tcPr>
            <w:tcW w:w="716" w:type="dxa"/>
            <w:tcBorders>
              <w:top w:val="nil"/>
              <w:left w:val="nil"/>
              <w:bottom w:val="single" w:color="57B8E7" w:sz="12" w:space="0"/>
              <w:right w:val="nil"/>
            </w:tcBorders>
            <w:shd w:val="clear" w:color="000000" w:fill="FFFFFF"/>
            <w:noWrap/>
            <w:vAlign w:val="center"/>
          </w:tcPr>
          <w:p>
            <w:pPr>
              <w:widowControl/>
              <w:spacing w:line="320" w:lineRule="exact"/>
              <w:jc w:val="center"/>
              <w:rPr>
                <w:rFonts w:ascii="Calibri" w:hAnsi="Calibri" w:cs="宋体"/>
                <w:color w:val="000000"/>
                <w:kern w:val="0"/>
                <w:sz w:val="20"/>
                <w:szCs w:val="20"/>
              </w:rPr>
            </w:pPr>
            <w:r>
              <w:rPr>
                <w:rFonts w:ascii="Calibri" w:hAnsi="Calibri" w:cs="宋体"/>
                <w:color w:val="000000"/>
                <w:kern w:val="0"/>
                <w:sz w:val="20"/>
                <w:szCs w:val="20"/>
              </w:rPr>
              <w:t>0.0</w:t>
            </w:r>
          </w:p>
        </w:tc>
        <w:tc>
          <w:tcPr>
            <w:tcW w:w="716" w:type="dxa"/>
            <w:tcBorders>
              <w:top w:val="nil"/>
              <w:left w:val="nil"/>
              <w:bottom w:val="single" w:color="57B8E7" w:sz="12" w:space="0"/>
              <w:right w:val="nil"/>
            </w:tcBorders>
            <w:shd w:val="clear" w:color="000000" w:fill="FFFFFF"/>
            <w:noWrap/>
            <w:vAlign w:val="center"/>
          </w:tcPr>
          <w:p>
            <w:pPr>
              <w:widowControl/>
              <w:spacing w:line="320" w:lineRule="exact"/>
              <w:jc w:val="center"/>
              <w:rPr>
                <w:rFonts w:ascii="Calibri" w:hAnsi="Calibri" w:cs="宋体"/>
                <w:color w:val="000000"/>
                <w:kern w:val="0"/>
                <w:sz w:val="20"/>
                <w:szCs w:val="20"/>
              </w:rPr>
            </w:pPr>
            <w:r>
              <w:rPr>
                <w:rFonts w:ascii="Calibri" w:hAnsi="Calibri" w:cs="宋体"/>
                <w:color w:val="000000"/>
                <w:kern w:val="0"/>
                <w:sz w:val="20"/>
                <w:szCs w:val="20"/>
              </w:rPr>
              <w:t>100.0</w:t>
            </w:r>
          </w:p>
        </w:tc>
        <w:tc>
          <w:tcPr>
            <w:tcW w:w="715" w:type="dxa"/>
            <w:tcBorders>
              <w:top w:val="nil"/>
              <w:left w:val="nil"/>
              <w:bottom w:val="single" w:color="57B8E7" w:sz="12" w:space="0"/>
              <w:right w:val="nil"/>
            </w:tcBorders>
            <w:shd w:val="clear" w:color="000000" w:fill="FFFFFF"/>
            <w:noWrap/>
            <w:vAlign w:val="center"/>
          </w:tcPr>
          <w:p>
            <w:pPr>
              <w:widowControl/>
              <w:spacing w:line="320" w:lineRule="exact"/>
              <w:jc w:val="center"/>
              <w:rPr>
                <w:rFonts w:ascii="Calibri" w:hAnsi="Calibri" w:cs="宋体"/>
                <w:color w:val="000000"/>
                <w:kern w:val="0"/>
                <w:sz w:val="20"/>
                <w:szCs w:val="20"/>
              </w:rPr>
            </w:pPr>
            <w:r>
              <w:rPr>
                <w:rFonts w:ascii="Calibri" w:hAnsi="Calibri" w:cs="宋体"/>
                <w:color w:val="000000"/>
                <w:kern w:val="0"/>
                <w:sz w:val="20"/>
                <w:szCs w:val="20"/>
              </w:rPr>
              <w:t>0.0</w:t>
            </w:r>
          </w:p>
        </w:tc>
        <w:tc>
          <w:tcPr>
            <w:tcW w:w="716" w:type="dxa"/>
            <w:tcBorders>
              <w:top w:val="nil"/>
              <w:left w:val="nil"/>
              <w:bottom w:val="single" w:color="57B8E7" w:sz="12" w:space="0"/>
              <w:right w:val="nil"/>
            </w:tcBorders>
            <w:shd w:val="clear" w:color="000000" w:fill="FFFFFF"/>
            <w:noWrap/>
            <w:vAlign w:val="center"/>
          </w:tcPr>
          <w:p>
            <w:pPr>
              <w:widowControl/>
              <w:spacing w:line="320" w:lineRule="exact"/>
              <w:jc w:val="center"/>
              <w:rPr>
                <w:rFonts w:ascii="Calibri" w:hAnsi="Calibri" w:cs="宋体"/>
                <w:color w:val="000000"/>
                <w:kern w:val="0"/>
                <w:sz w:val="20"/>
                <w:szCs w:val="20"/>
              </w:rPr>
            </w:pPr>
            <w:r>
              <w:rPr>
                <w:rFonts w:ascii="Calibri" w:hAnsi="Calibri" w:cs="宋体"/>
                <w:color w:val="000000"/>
                <w:kern w:val="0"/>
                <w:sz w:val="20"/>
                <w:szCs w:val="20"/>
              </w:rPr>
              <w:t>0.0</w:t>
            </w:r>
          </w:p>
        </w:tc>
        <w:tc>
          <w:tcPr>
            <w:tcW w:w="715" w:type="dxa"/>
            <w:tcBorders>
              <w:top w:val="nil"/>
              <w:left w:val="nil"/>
              <w:bottom w:val="single" w:color="57B8E7" w:sz="12" w:space="0"/>
              <w:right w:val="nil"/>
            </w:tcBorders>
            <w:shd w:val="clear" w:color="000000" w:fill="FFFFFF"/>
            <w:noWrap/>
            <w:vAlign w:val="center"/>
          </w:tcPr>
          <w:p>
            <w:pPr>
              <w:widowControl/>
              <w:spacing w:line="320" w:lineRule="exact"/>
              <w:jc w:val="center"/>
              <w:rPr>
                <w:rFonts w:ascii="Calibri" w:hAnsi="Calibri" w:cs="宋体"/>
                <w:color w:val="000000"/>
                <w:kern w:val="0"/>
                <w:sz w:val="20"/>
                <w:szCs w:val="20"/>
              </w:rPr>
            </w:pPr>
            <w:r>
              <w:rPr>
                <w:rFonts w:ascii="Calibri" w:hAnsi="Calibri" w:cs="宋体"/>
                <w:color w:val="000000"/>
                <w:kern w:val="0"/>
                <w:sz w:val="20"/>
                <w:szCs w:val="20"/>
              </w:rPr>
              <w:t>0.0</w:t>
            </w:r>
          </w:p>
        </w:tc>
        <w:tc>
          <w:tcPr>
            <w:tcW w:w="716" w:type="dxa"/>
            <w:tcBorders>
              <w:top w:val="nil"/>
              <w:left w:val="nil"/>
              <w:bottom w:val="single" w:color="57B8E7" w:sz="12" w:space="0"/>
              <w:right w:val="nil"/>
            </w:tcBorders>
            <w:shd w:val="clear" w:color="000000" w:fill="FFFFFF"/>
            <w:noWrap/>
            <w:vAlign w:val="center"/>
          </w:tcPr>
          <w:p>
            <w:pPr>
              <w:widowControl/>
              <w:spacing w:line="320" w:lineRule="exact"/>
              <w:jc w:val="center"/>
              <w:rPr>
                <w:rFonts w:ascii="Calibri" w:hAnsi="Calibri" w:cs="宋体"/>
                <w:color w:val="000000"/>
                <w:kern w:val="0"/>
                <w:sz w:val="20"/>
                <w:szCs w:val="20"/>
              </w:rPr>
            </w:pPr>
            <w:r>
              <w:rPr>
                <w:rFonts w:ascii="Calibri" w:hAnsi="Calibri" w:cs="宋体"/>
                <w:color w:val="000000"/>
                <w:kern w:val="0"/>
                <w:sz w:val="20"/>
                <w:szCs w:val="20"/>
              </w:rPr>
              <w:t>0.0</w:t>
            </w:r>
          </w:p>
        </w:tc>
        <w:tc>
          <w:tcPr>
            <w:tcW w:w="716" w:type="dxa"/>
            <w:tcBorders>
              <w:top w:val="nil"/>
              <w:left w:val="nil"/>
              <w:bottom w:val="single" w:color="57B8E7" w:sz="12" w:space="0"/>
              <w:right w:val="nil"/>
            </w:tcBorders>
            <w:shd w:val="clear" w:color="000000" w:fill="FFFFFF"/>
            <w:noWrap/>
            <w:vAlign w:val="center"/>
          </w:tcPr>
          <w:p>
            <w:pPr>
              <w:widowControl/>
              <w:spacing w:line="320" w:lineRule="exact"/>
              <w:jc w:val="center"/>
              <w:rPr>
                <w:rFonts w:ascii="Calibri" w:hAnsi="Calibri" w:cs="宋体"/>
                <w:color w:val="000000"/>
                <w:kern w:val="0"/>
                <w:sz w:val="20"/>
                <w:szCs w:val="20"/>
              </w:rPr>
            </w:pPr>
            <w:r>
              <w:rPr>
                <w:rFonts w:ascii="Calibri" w:hAnsi="Calibri" w:cs="宋体"/>
                <w:color w:val="000000"/>
                <w:kern w:val="0"/>
                <w:sz w:val="20"/>
                <w:szCs w:val="20"/>
              </w:rPr>
              <w:t>0.0</w:t>
            </w:r>
          </w:p>
        </w:tc>
      </w:tr>
    </w:tbl>
    <w:p>
      <w:pPr>
        <w:jc w:val="left"/>
        <w:rPr>
          <w:rFonts w:hint="eastAsia" w:asciiTheme="minorEastAsia" w:hAnsiTheme="minorEastAsia" w:eastAsiaTheme="minorEastAsia" w:cstheme="minorEastAsia"/>
          <w:color w:val="000000"/>
          <w:sz w:val="21"/>
          <w:szCs w:val="32"/>
        </w:rPr>
      </w:pPr>
      <w:r>
        <w:rPr>
          <w:rFonts w:hint="eastAsia" w:asciiTheme="minorEastAsia" w:hAnsiTheme="minorEastAsia" w:eastAsiaTheme="minorEastAsia" w:cstheme="minorEastAsia"/>
          <w:color w:val="000000"/>
          <w:sz w:val="21"/>
          <w:szCs w:val="32"/>
        </w:rPr>
        <w:t>注：表中本校数据保留一位小数，由于四舍五入，相加可能不等于100%。</w:t>
      </w:r>
    </w:p>
    <w:p>
      <w:pPr>
        <w:jc w:val="left"/>
        <w:rPr>
          <w:rFonts w:hint="eastAsia" w:asciiTheme="minorEastAsia" w:hAnsiTheme="minorEastAsia" w:eastAsiaTheme="minorEastAsia" w:cstheme="minorEastAsia"/>
          <w:color w:val="000000"/>
          <w:sz w:val="21"/>
          <w:szCs w:val="32"/>
          <w:lang w:val="en-US"/>
        </w:rPr>
        <w:sectPr>
          <w:footnotePr>
            <w:numRestart w:val="eachSect"/>
          </w:footnotePr>
          <w:pgSz w:w="11906" w:h="16838"/>
          <w:pgMar w:top="1985" w:right="1531" w:bottom="1701" w:left="1701" w:header="964" w:footer="851" w:gutter="0"/>
          <w:pgNumType w:fmt="decimal"/>
          <w:cols w:space="425" w:num="1"/>
          <w:docGrid w:linePitch="312" w:charSpace="0"/>
        </w:sectPr>
      </w:pPr>
      <w:r>
        <w:rPr>
          <w:rFonts w:hint="eastAsia" w:asciiTheme="minorEastAsia" w:hAnsiTheme="minorEastAsia" w:eastAsiaTheme="minorEastAsia" w:cstheme="minorEastAsia"/>
          <w:color w:val="000000"/>
          <w:sz w:val="21"/>
          <w:szCs w:val="32"/>
        </w:rPr>
        <w:t>数据来源：海南外国语职业学院数据。</w:t>
      </w:r>
      <w:bookmarkEnd w:id="80"/>
    </w:p>
    <w:bookmarkEnd w:id="77"/>
    <w:p>
      <w:pPr>
        <w:pStyle w:val="3"/>
        <w:numPr>
          <w:ilvl w:val="1"/>
          <w:numId w:val="0"/>
        </w:numPr>
        <w:bidi w:val="0"/>
        <w:ind w:leftChars="0"/>
        <w:jc w:val="both"/>
        <w:rPr>
          <w:rFonts w:hint="eastAsia"/>
        </w:rPr>
      </w:pPr>
      <w:bookmarkStart w:id="82" w:name="_Toc32654_WPSOffice_Level2"/>
      <w:bookmarkStart w:id="83" w:name="_Toc12300_WPSOffice_Level2"/>
      <w:bookmarkStart w:id="84" w:name="_Toc532230093"/>
      <w:bookmarkStart w:id="85" w:name="_Toc12978"/>
    </w:p>
    <w:p>
      <w:pPr>
        <w:pStyle w:val="3"/>
        <w:bidi w:val="0"/>
      </w:pPr>
      <w:bookmarkStart w:id="86" w:name="_Toc23057"/>
      <w:r>
        <w:rPr>
          <w:rFonts w:hint="eastAsia"/>
        </w:rPr>
        <w:t>就业流向</w:t>
      </w:r>
      <w:bookmarkEnd w:id="82"/>
      <w:bookmarkEnd w:id="83"/>
      <w:bookmarkEnd w:id="84"/>
      <w:bookmarkEnd w:id="85"/>
      <w:bookmarkEnd w:id="86"/>
    </w:p>
    <w:p>
      <w:pPr>
        <w:jc w:val="left"/>
        <w:rPr>
          <w:rFonts w:ascii="Calibri" w:hAnsi="Calibri" w:cs="Arial"/>
          <w:kern w:val="0"/>
          <w:sz w:val="18"/>
          <w:szCs w:val="18"/>
        </w:rPr>
      </w:pPr>
    </w:p>
    <w:p>
      <w:pPr>
        <w:pStyle w:val="4"/>
        <w:bidi w:val="0"/>
        <w:ind w:left="0" w:leftChars="0" w:firstLine="400" w:firstLineChars="0"/>
        <w:rPr>
          <w:rFonts w:hint="eastAsia"/>
        </w:rPr>
      </w:pPr>
      <w:bookmarkStart w:id="87" w:name="pb_14"/>
      <w:bookmarkStart w:id="88" w:name="itb_145"/>
      <w:r>
        <w:rPr>
          <w:rFonts w:hint="eastAsia"/>
          <w:lang w:val="en-US" w:eastAsia="zh-CN"/>
        </w:rPr>
        <w:t xml:space="preserve"> </w:t>
      </w:r>
      <w:bookmarkStart w:id="89" w:name="_Toc25434"/>
      <w:r>
        <w:rPr>
          <w:rFonts w:hint="eastAsia"/>
        </w:rPr>
        <w:t>毕业生的职业流向</w:t>
      </w:r>
      <w:bookmarkEnd w:id="89"/>
    </w:p>
    <w:p>
      <w:pPr>
        <w:pStyle w:val="7"/>
        <w:bidi w:val="0"/>
        <w:rPr>
          <w:rFonts w:hint="eastAsia"/>
          <w:lang w:val="en-US" w:eastAsia="zh-CN"/>
        </w:rPr>
      </w:pPr>
      <w:r>
        <w:rPr>
          <w:rFonts w:hint="eastAsia"/>
          <w:lang w:eastAsia="zh-CN"/>
        </w:rPr>
        <w:t>本校2019届毕业生从事的主要职业类如下表所示。本校2019届毕业生就业量较大的职业类为销售（19.0%）、餐饮/娱乐（13.7%）。</w:t>
      </w:r>
    </w:p>
    <w:p>
      <w:pPr>
        <w:pStyle w:val="8"/>
        <w:numPr>
          <w:ilvl w:val="0"/>
          <w:numId w:val="0"/>
        </w:numPr>
        <w:spacing w:line="360" w:lineRule="auto"/>
        <w:jc w:val="center"/>
        <w:rPr>
          <w:rFonts w:eastAsia="宋体" w:cs="Arial"/>
          <w:b w:val="0"/>
          <w:szCs w:val="21"/>
          <w:lang w:val="en-US"/>
        </w:rPr>
      </w:pPr>
      <w:bookmarkStart w:id="90" w:name="_Toc23442228"/>
      <w:bookmarkStart w:id="91" w:name="_Toc531614159"/>
      <w:r>
        <w:rPr>
          <w:rFonts w:hint="eastAsia" w:asciiTheme="minorEastAsia" w:hAnsiTheme="minorEastAsia" w:eastAsiaTheme="minorEastAsia" w:cstheme="minorEastAsia"/>
          <w:b/>
          <w:bCs/>
          <w:kern w:val="2"/>
          <w:sz w:val="21"/>
          <w:szCs w:val="21"/>
          <w:lang w:val="en-US" w:eastAsia="zh-CN" w:bidi="ar-SA"/>
        </w:rPr>
        <w:t>表 1-6毕业生从事的主要职业类</w:t>
      </w:r>
      <w:bookmarkEnd w:id="90"/>
      <w:bookmarkEnd w:id="91"/>
    </w:p>
    <w:tbl>
      <w:tblPr>
        <w:tblStyle w:val="14"/>
        <w:tblW w:w="8890" w:type="dxa"/>
        <w:tblInd w:w="0" w:type="dxa"/>
        <w:tblLayout w:type="fixed"/>
        <w:tblCellMar>
          <w:top w:w="0" w:type="dxa"/>
          <w:left w:w="108" w:type="dxa"/>
          <w:bottom w:w="0" w:type="dxa"/>
          <w:right w:w="108" w:type="dxa"/>
        </w:tblCellMar>
      </w:tblPr>
      <w:tblGrid>
        <w:gridCol w:w="4445"/>
        <w:gridCol w:w="4445"/>
      </w:tblGrid>
      <w:tr>
        <w:tblPrEx>
          <w:tblCellMar>
            <w:top w:w="0" w:type="dxa"/>
            <w:left w:w="108" w:type="dxa"/>
            <w:bottom w:w="0" w:type="dxa"/>
            <w:right w:w="108" w:type="dxa"/>
          </w:tblCellMar>
        </w:tblPrEx>
        <w:trPr>
          <w:trHeight w:val="270" w:hRule="atLeast"/>
          <w:tblHeader/>
        </w:trPr>
        <w:tc>
          <w:tcPr>
            <w:tcW w:w="4445" w:type="dxa"/>
            <w:tcBorders>
              <w:top w:val="nil"/>
              <w:left w:val="nil"/>
              <w:bottom w:val="nil"/>
              <w:right w:val="single" w:color="FFFFFF" w:sz="12" w:space="0"/>
            </w:tcBorders>
            <w:shd w:val="clear" w:color="000000" w:fill="2350A0"/>
            <w:noWrap/>
            <w:vAlign w:val="center"/>
          </w:tcPr>
          <w:p>
            <w:pPr>
              <w:widowControl/>
              <w:spacing w:line="320" w:lineRule="exact"/>
              <w:jc w:val="center"/>
              <w:rPr>
                <w:rFonts w:ascii="Calibri" w:hAnsi="Calibri"/>
                <w:b/>
                <w:bCs/>
                <w:color w:val="FFFFFF"/>
                <w:kern w:val="0"/>
                <w:sz w:val="20"/>
                <w:szCs w:val="20"/>
              </w:rPr>
            </w:pPr>
            <w:r>
              <w:rPr>
                <w:rFonts w:hint="eastAsia" w:ascii="Calibri" w:hAnsi="Calibri"/>
                <w:b/>
                <w:bCs/>
                <w:color w:val="FFFFFF"/>
                <w:sz w:val="20"/>
                <w:szCs w:val="20"/>
              </w:rPr>
              <w:t>职业类名称</w:t>
            </w:r>
          </w:p>
        </w:tc>
        <w:tc>
          <w:tcPr>
            <w:tcW w:w="4445" w:type="dxa"/>
            <w:tcBorders>
              <w:top w:val="nil"/>
              <w:left w:val="nil"/>
              <w:bottom w:val="nil"/>
              <w:right w:val="single" w:color="FFFFFF" w:sz="12" w:space="0"/>
            </w:tcBorders>
            <w:shd w:val="clear" w:color="000000" w:fill="2350A0"/>
            <w:noWrap/>
            <w:vAlign w:val="center"/>
          </w:tcPr>
          <w:p>
            <w:pPr>
              <w:spacing w:line="320" w:lineRule="exact"/>
              <w:jc w:val="center"/>
              <w:rPr>
                <w:rFonts w:hint="eastAsia" w:ascii="Calibri" w:hAnsi="Calibri"/>
                <w:b/>
                <w:bCs/>
                <w:color w:val="FFFFFF"/>
                <w:sz w:val="20"/>
                <w:szCs w:val="20"/>
              </w:rPr>
            </w:pPr>
            <w:r>
              <w:rPr>
                <w:rFonts w:hint="eastAsia" w:ascii="Calibri" w:hAnsi="Calibri"/>
                <w:b/>
                <w:bCs/>
                <w:color w:val="FFFFFF"/>
                <w:sz w:val="20"/>
                <w:szCs w:val="20"/>
              </w:rPr>
              <w:t>占本校就业毕业生的人数百分比（%）</w:t>
            </w:r>
          </w:p>
        </w:tc>
      </w:tr>
      <w:tr>
        <w:tblPrEx>
          <w:tblCellMar>
            <w:top w:w="0" w:type="dxa"/>
            <w:left w:w="108" w:type="dxa"/>
            <w:bottom w:w="0" w:type="dxa"/>
            <w:right w:w="108" w:type="dxa"/>
          </w:tblCellMar>
        </w:tblPrEx>
        <w:trPr>
          <w:trHeight w:val="270" w:hRule="atLeast"/>
        </w:trPr>
        <w:tc>
          <w:tcPr>
            <w:tcW w:w="4445" w:type="dxa"/>
            <w:tcBorders>
              <w:top w:val="nil"/>
              <w:left w:val="nil"/>
              <w:bottom w:val="nil"/>
              <w:right w:val="nil"/>
            </w:tcBorders>
            <w:shd w:val="clear" w:color="000000" w:fill="FFFFFF"/>
            <w:noWrap/>
            <w:vAlign w:val="center"/>
          </w:tcPr>
          <w:p>
            <w:pPr>
              <w:spacing w:line="320" w:lineRule="exact"/>
              <w:jc w:val="left"/>
              <w:rPr>
                <w:rFonts w:hint="eastAsia" w:ascii="Calibri" w:hAnsi="Calibri"/>
                <w:color w:val="000000"/>
                <w:sz w:val="20"/>
                <w:szCs w:val="20"/>
              </w:rPr>
            </w:pPr>
            <w:r>
              <w:rPr>
                <w:rFonts w:hint="eastAsia" w:ascii="Calibri" w:hAnsi="Calibri"/>
                <w:color w:val="000000"/>
                <w:sz w:val="20"/>
                <w:szCs w:val="20"/>
              </w:rPr>
              <w:t>销售</w:t>
            </w:r>
          </w:p>
        </w:tc>
        <w:tc>
          <w:tcPr>
            <w:tcW w:w="4445" w:type="dxa"/>
            <w:tcBorders>
              <w:top w:val="nil"/>
              <w:left w:val="nil"/>
              <w:bottom w:val="nil"/>
              <w:right w:val="nil"/>
            </w:tcBorders>
            <w:shd w:val="clear" w:color="000000" w:fill="FFFFFF"/>
            <w:noWrap/>
            <w:vAlign w:val="center"/>
          </w:tcPr>
          <w:p>
            <w:pPr>
              <w:spacing w:line="320" w:lineRule="exact"/>
              <w:jc w:val="center"/>
              <w:rPr>
                <w:rFonts w:hint="eastAsia" w:ascii="Calibri" w:hAnsi="Calibri"/>
                <w:color w:val="000000"/>
                <w:sz w:val="20"/>
                <w:szCs w:val="20"/>
              </w:rPr>
            </w:pPr>
            <w:r>
              <w:rPr>
                <w:rFonts w:hint="eastAsia" w:ascii="Calibri" w:hAnsi="Calibri"/>
                <w:color w:val="000000"/>
                <w:sz w:val="20"/>
                <w:szCs w:val="20"/>
              </w:rPr>
              <w:t>19.0</w:t>
            </w:r>
          </w:p>
        </w:tc>
      </w:tr>
      <w:tr>
        <w:tblPrEx>
          <w:tblCellMar>
            <w:top w:w="0" w:type="dxa"/>
            <w:left w:w="108" w:type="dxa"/>
            <w:bottom w:w="0" w:type="dxa"/>
            <w:right w:w="108" w:type="dxa"/>
          </w:tblCellMar>
        </w:tblPrEx>
        <w:trPr>
          <w:trHeight w:val="270" w:hRule="atLeast"/>
        </w:trPr>
        <w:tc>
          <w:tcPr>
            <w:tcW w:w="4445" w:type="dxa"/>
            <w:tcBorders>
              <w:top w:val="nil"/>
              <w:left w:val="nil"/>
              <w:bottom w:val="nil"/>
              <w:right w:val="nil"/>
            </w:tcBorders>
            <w:shd w:val="clear" w:color="000000" w:fill="BEEDF8"/>
            <w:noWrap/>
            <w:vAlign w:val="center"/>
          </w:tcPr>
          <w:p>
            <w:pPr>
              <w:spacing w:line="320" w:lineRule="exact"/>
              <w:jc w:val="left"/>
              <w:rPr>
                <w:rFonts w:hint="eastAsia" w:ascii="Calibri" w:hAnsi="Calibri"/>
                <w:color w:val="000000"/>
                <w:sz w:val="20"/>
                <w:szCs w:val="20"/>
              </w:rPr>
            </w:pPr>
            <w:r>
              <w:rPr>
                <w:rFonts w:hint="eastAsia" w:ascii="Calibri" w:hAnsi="Calibri"/>
                <w:color w:val="000000"/>
                <w:sz w:val="20"/>
                <w:szCs w:val="20"/>
              </w:rPr>
              <w:t>餐饮/娱乐</w:t>
            </w:r>
          </w:p>
        </w:tc>
        <w:tc>
          <w:tcPr>
            <w:tcW w:w="4445" w:type="dxa"/>
            <w:tcBorders>
              <w:top w:val="nil"/>
              <w:left w:val="nil"/>
              <w:bottom w:val="nil"/>
              <w:right w:val="nil"/>
            </w:tcBorders>
            <w:shd w:val="clear" w:color="000000" w:fill="BEEDF8"/>
            <w:noWrap/>
            <w:vAlign w:val="center"/>
          </w:tcPr>
          <w:p>
            <w:pPr>
              <w:spacing w:line="320" w:lineRule="exact"/>
              <w:jc w:val="center"/>
              <w:rPr>
                <w:rFonts w:hint="eastAsia" w:ascii="Calibri" w:hAnsi="Calibri"/>
                <w:color w:val="000000"/>
                <w:sz w:val="20"/>
                <w:szCs w:val="20"/>
              </w:rPr>
            </w:pPr>
            <w:r>
              <w:rPr>
                <w:rFonts w:hint="eastAsia" w:ascii="Calibri" w:hAnsi="Calibri"/>
                <w:color w:val="000000"/>
                <w:sz w:val="20"/>
                <w:szCs w:val="20"/>
              </w:rPr>
              <w:t>13.7</w:t>
            </w:r>
          </w:p>
        </w:tc>
      </w:tr>
      <w:tr>
        <w:tblPrEx>
          <w:tblCellMar>
            <w:top w:w="0" w:type="dxa"/>
            <w:left w:w="108" w:type="dxa"/>
            <w:bottom w:w="0" w:type="dxa"/>
            <w:right w:w="108" w:type="dxa"/>
          </w:tblCellMar>
        </w:tblPrEx>
        <w:trPr>
          <w:trHeight w:val="270" w:hRule="atLeast"/>
        </w:trPr>
        <w:tc>
          <w:tcPr>
            <w:tcW w:w="4445" w:type="dxa"/>
            <w:tcBorders>
              <w:top w:val="nil"/>
              <w:left w:val="nil"/>
              <w:bottom w:val="nil"/>
              <w:right w:val="nil"/>
            </w:tcBorders>
            <w:shd w:val="clear" w:color="000000" w:fill="FFFFFF"/>
            <w:noWrap/>
            <w:vAlign w:val="center"/>
          </w:tcPr>
          <w:p>
            <w:pPr>
              <w:spacing w:line="320" w:lineRule="exact"/>
              <w:jc w:val="left"/>
              <w:rPr>
                <w:rFonts w:hint="eastAsia" w:ascii="Calibri" w:hAnsi="Calibri"/>
                <w:color w:val="000000"/>
                <w:sz w:val="20"/>
                <w:szCs w:val="20"/>
              </w:rPr>
            </w:pPr>
            <w:r>
              <w:rPr>
                <w:rFonts w:hint="eastAsia" w:ascii="Calibri" w:hAnsi="Calibri"/>
                <w:color w:val="000000"/>
                <w:sz w:val="20"/>
                <w:szCs w:val="20"/>
              </w:rPr>
              <w:t>酒店/旅游/会展</w:t>
            </w:r>
          </w:p>
        </w:tc>
        <w:tc>
          <w:tcPr>
            <w:tcW w:w="4445" w:type="dxa"/>
            <w:tcBorders>
              <w:top w:val="nil"/>
              <w:left w:val="nil"/>
              <w:bottom w:val="nil"/>
              <w:right w:val="nil"/>
            </w:tcBorders>
            <w:shd w:val="clear" w:color="000000" w:fill="FFFFFF"/>
            <w:noWrap/>
            <w:vAlign w:val="center"/>
          </w:tcPr>
          <w:p>
            <w:pPr>
              <w:spacing w:line="320" w:lineRule="exact"/>
              <w:jc w:val="center"/>
              <w:rPr>
                <w:rFonts w:hint="eastAsia" w:ascii="Calibri" w:hAnsi="Calibri"/>
                <w:color w:val="000000"/>
                <w:sz w:val="20"/>
                <w:szCs w:val="20"/>
              </w:rPr>
            </w:pPr>
            <w:r>
              <w:rPr>
                <w:rFonts w:hint="eastAsia" w:ascii="Calibri" w:hAnsi="Calibri"/>
                <w:color w:val="000000"/>
                <w:sz w:val="20"/>
                <w:szCs w:val="20"/>
              </w:rPr>
              <w:t>9.5</w:t>
            </w:r>
          </w:p>
        </w:tc>
      </w:tr>
      <w:tr>
        <w:tblPrEx>
          <w:tblCellMar>
            <w:top w:w="0" w:type="dxa"/>
            <w:left w:w="108" w:type="dxa"/>
            <w:bottom w:w="0" w:type="dxa"/>
            <w:right w:w="108" w:type="dxa"/>
          </w:tblCellMar>
        </w:tblPrEx>
        <w:trPr>
          <w:trHeight w:val="270" w:hRule="atLeast"/>
        </w:trPr>
        <w:tc>
          <w:tcPr>
            <w:tcW w:w="4445" w:type="dxa"/>
            <w:tcBorders>
              <w:top w:val="nil"/>
              <w:left w:val="nil"/>
              <w:bottom w:val="nil"/>
              <w:right w:val="nil"/>
            </w:tcBorders>
            <w:shd w:val="clear" w:color="000000" w:fill="BEEDF8"/>
            <w:noWrap/>
            <w:vAlign w:val="center"/>
          </w:tcPr>
          <w:p>
            <w:pPr>
              <w:spacing w:line="320" w:lineRule="exact"/>
              <w:jc w:val="left"/>
              <w:rPr>
                <w:rFonts w:hint="eastAsia" w:ascii="Calibri" w:hAnsi="Calibri"/>
                <w:color w:val="000000"/>
                <w:sz w:val="20"/>
                <w:szCs w:val="20"/>
              </w:rPr>
            </w:pPr>
            <w:r>
              <w:rPr>
                <w:rFonts w:hint="eastAsia" w:ascii="Calibri" w:hAnsi="Calibri"/>
                <w:color w:val="000000"/>
                <w:sz w:val="20"/>
                <w:szCs w:val="20"/>
              </w:rPr>
              <w:t>行政/后勤</w:t>
            </w:r>
          </w:p>
        </w:tc>
        <w:tc>
          <w:tcPr>
            <w:tcW w:w="4445" w:type="dxa"/>
            <w:tcBorders>
              <w:top w:val="nil"/>
              <w:left w:val="nil"/>
              <w:bottom w:val="nil"/>
              <w:right w:val="nil"/>
            </w:tcBorders>
            <w:shd w:val="clear" w:color="000000" w:fill="BEEDF8"/>
            <w:noWrap/>
            <w:vAlign w:val="center"/>
          </w:tcPr>
          <w:p>
            <w:pPr>
              <w:spacing w:line="320" w:lineRule="exact"/>
              <w:jc w:val="center"/>
              <w:rPr>
                <w:rFonts w:hint="eastAsia" w:ascii="Calibri" w:hAnsi="Calibri"/>
                <w:color w:val="000000"/>
                <w:sz w:val="20"/>
                <w:szCs w:val="20"/>
              </w:rPr>
            </w:pPr>
            <w:r>
              <w:rPr>
                <w:rFonts w:hint="eastAsia" w:ascii="Calibri" w:hAnsi="Calibri"/>
                <w:color w:val="000000"/>
                <w:sz w:val="20"/>
                <w:szCs w:val="20"/>
              </w:rPr>
              <w:t>6.9</w:t>
            </w:r>
          </w:p>
        </w:tc>
      </w:tr>
      <w:tr>
        <w:tblPrEx>
          <w:tblCellMar>
            <w:top w:w="0" w:type="dxa"/>
            <w:left w:w="108" w:type="dxa"/>
            <w:bottom w:w="0" w:type="dxa"/>
            <w:right w:w="108" w:type="dxa"/>
          </w:tblCellMar>
        </w:tblPrEx>
        <w:trPr>
          <w:trHeight w:val="285" w:hRule="atLeast"/>
        </w:trPr>
        <w:tc>
          <w:tcPr>
            <w:tcW w:w="4445" w:type="dxa"/>
            <w:tcBorders>
              <w:top w:val="nil"/>
              <w:left w:val="nil"/>
              <w:bottom w:val="single" w:color="57B8E7" w:sz="12" w:space="0"/>
              <w:right w:val="nil"/>
            </w:tcBorders>
            <w:shd w:val="clear" w:color="000000" w:fill="FFFFFF"/>
            <w:noWrap/>
            <w:vAlign w:val="center"/>
          </w:tcPr>
          <w:p>
            <w:pPr>
              <w:spacing w:line="320" w:lineRule="exact"/>
              <w:jc w:val="left"/>
              <w:rPr>
                <w:rFonts w:hint="eastAsia" w:ascii="Calibri" w:hAnsi="Calibri"/>
                <w:color w:val="000000"/>
                <w:sz w:val="20"/>
                <w:szCs w:val="20"/>
              </w:rPr>
            </w:pPr>
            <w:r>
              <w:rPr>
                <w:rFonts w:hint="eastAsia" w:ascii="Calibri" w:hAnsi="Calibri"/>
                <w:color w:val="000000"/>
                <w:sz w:val="20"/>
                <w:szCs w:val="20"/>
              </w:rPr>
              <w:t>互联网开发及应用</w:t>
            </w:r>
          </w:p>
        </w:tc>
        <w:tc>
          <w:tcPr>
            <w:tcW w:w="4445" w:type="dxa"/>
            <w:tcBorders>
              <w:top w:val="nil"/>
              <w:left w:val="nil"/>
              <w:bottom w:val="single" w:color="57B8E7" w:sz="12" w:space="0"/>
              <w:right w:val="nil"/>
            </w:tcBorders>
            <w:shd w:val="clear" w:color="000000" w:fill="FFFFFF"/>
            <w:noWrap/>
            <w:vAlign w:val="center"/>
          </w:tcPr>
          <w:p>
            <w:pPr>
              <w:spacing w:line="320" w:lineRule="exact"/>
              <w:jc w:val="center"/>
              <w:rPr>
                <w:rFonts w:hint="eastAsia" w:ascii="Calibri" w:hAnsi="Calibri"/>
                <w:color w:val="000000"/>
                <w:sz w:val="20"/>
                <w:szCs w:val="20"/>
              </w:rPr>
            </w:pPr>
            <w:r>
              <w:rPr>
                <w:rFonts w:hint="eastAsia" w:ascii="Calibri" w:hAnsi="Calibri"/>
                <w:color w:val="000000"/>
                <w:sz w:val="20"/>
                <w:szCs w:val="20"/>
              </w:rPr>
              <w:t>6.9</w:t>
            </w:r>
          </w:p>
        </w:tc>
      </w:tr>
    </w:tbl>
    <w:p>
      <w:pPr>
        <w:jc w:val="left"/>
        <w:rPr>
          <w:rFonts w:hint="eastAsia" w:asciiTheme="minorEastAsia" w:hAnsiTheme="minorEastAsia" w:eastAsiaTheme="minorEastAsia" w:cstheme="minorEastAsia"/>
          <w:color w:val="000000"/>
          <w:sz w:val="21"/>
          <w:szCs w:val="32"/>
        </w:rPr>
      </w:pPr>
      <w:r>
        <w:rPr>
          <w:rFonts w:hint="eastAsia" w:asciiTheme="minorEastAsia" w:hAnsiTheme="minorEastAsia" w:eastAsiaTheme="minorEastAsia" w:cstheme="minorEastAsia"/>
          <w:color w:val="000000"/>
          <w:sz w:val="21"/>
          <w:szCs w:val="32"/>
        </w:rPr>
        <w:t>数据来源：麦可思-海南外国语职业学院2019届毕业生培养质量评价数据。</w:t>
      </w:r>
    </w:p>
    <w:p>
      <w:pPr>
        <w:spacing w:line="240" w:lineRule="auto"/>
        <w:jc w:val="left"/>
        <w:rPr>
          <w:rFonts w:ascii="Calibri" w:hAnsi="Calibri"/>
        </w:rPr>
      </w:pPr>
    </w:p>
    <w:bookmarkEnd w:id="87"/>
    <w:bookmarkEnd w:id="88"/>
    <w:p>
      <w:pPr>
        <w:pStyle w:val="4"/>
        <w:bidi w:val="0"/>
        <w:rPr>
          <w:lang w:val="en-US" w:eastAsia="zh-CN"/>
        </w:rPr>
      </w:pPr>
      <w:bookmarkStart w:id="92" w:name="itb_148"/>
      <w:bookmarkStart w:id="93" w:name="pb_500"/>
      <w:r>
        <w:rPr>
          <w:rFonts w:hint="eastAsia"/>
          <w:lang w:val="en-US" w:eastAsia="zh-CN"/>
        </w:rPr>
        <w:t xml:space="preserve">  </w:t>
      </w:r>
      <w:bookmarkStart w:id="94" w:name="_Toc12453"/>
      <w:r>
        <w:rPr>
          <w:rFonts w:hint="eastAsia"/>
        </w:rPr>
        <w:t>各院系及专业</w:t>
      </w:r>
      <w:r>
        <w:rPr>
          <w:rFonts w:hint="eastAsia"/>
          <w:lang w:eastAsia="zh-CN"/>
        </w:rPr>
        <w:t>毕业生</w:t>
      </w:r>
      <w:r>
        <w:rPr>
          <w:rFonts w:hint="eastAsia"/>
        </w:rPr>
        <w:t>的职业流向</w:t>
      </w:r>
      <w:bookmarkEnd w:id="94"/>
      <w:bookmarkStart w:id="95" w:name="_Toc531614162"/>
      <w:bookmarkStart w:id="96" w:name="_Toc23442229"/>
      <w:bookmarkStart w:id="97" w:name="_Toc497148048"/>
    </w:p>
    <w:p>
      <w:pPr>
        <w:pStyle w:val="8"/>
        <w:numPr>
          <w:ilvl w:val="0"/>
          <w:numId w:val="0"/>
        </w:numPr>
        <w:spacing w:line="360" w:lineRule="auto"/>
        <w:jc w:val="center"/>
        <w:rPr>
          <w:rFonts w:hint="eastAsia" w:asciiTheme="minorEastAsia" w:hAnsiTheme="minorEastAsia" w:eastAsiaTheme="minorEastAsia" w:cstheme="minorEastAsia"/>
          <w:b/>
          <w:bCs/>
          <w:kern w:val="2"/>
          <w:sz w:val="21"/>
          <w:szCs w:val="21"/>
          <w:lang w:val="en-US" w:eastAsia="zh-CN" w:bidi="ar-SA"/>
        </w:rPr>
      </w:pPr>
      <w:r>
        <w:rPr>
          <w:rFonts w:hint="eastAsia" w:asciiTheme="minorEastAsia" w:hAnsiTheme="minorEastAsia" w:eastAsiaTheme="minorEastAsia" w:cstheme="minorEastAsia"/>
          <w:b/>
          <w:bCs/>
          <w:kern w:val="2"/>
          <w:sz w:val="21"/>
          <w:szCs w:val="21"/>
          <w:lang w:val="en-US" w:eastAsia="zh-CN" w:bidi="ar-SA"/>
        </w:rPr>
        <w:t>表 1-7各院系毕业生实际从事的主要职业</w:t>
      </w:r>
      <w:bookmarkEnd w:id="95"/>
      <w:bookmarkEnd w:id="96"/>
      <w:bookmarkEnd w:id="97"/>
    </w:p>
    <w:tbl>
      <w:tblPr>
        <w:tblStyle w:val="14"/>
        <w:tblW w:w="8890" w:type="dxa"/>
        <w:tblInd w:w="0" w:type="dxa"/>
        <w:tblLayout w:type="fixed"/>
        <w:tblCellMar>
          <w:top w:w="0" w:type="dxa"/>
          <w:left w:w="108" w:type="dxa"/>
          <w:bottom w:w="0" w:type="dxa"/>
          <w:right w:w="108" w:type="dxa"/>
        </w:tblCellMar>
      </w:tblPr>
      <w:tblGrid>
        <w:gridCol w:w="3510"/>
        <w:gridCol w:w="5380"/>
      </w:tblGrid>
      <w:tr>
        <w:tblPrEx>
          <w:tblCellMar>
            <w:top w:w="0" w:type="dxa"/>
            <w:left w:w="108" w:type="dxa"/>
            <w:bottom w:w="0" w:type="dxa"/>
            <w:right w:w="108" w:type="dxa"/>
          </w:tblCellMar>
        </w:tblPrEx>
        <w:trPr>
          <w:trHeight w:val="270" w:hRule="atLeast"/>
          <w:tblHeader/>
        </w:trPr>
        <w:tc>
          <w:tcPr>
            <w:tcW w:w="3510" w:type="dxa"/>
            <w:tcBorders>
              <w:top w:val="nil"/>
              <w:left w:val="nil"/>
              <w:bottom w:val="nil"/>
              <w:right w:val="single" w:color="FFFFFF" w:sz="12" w:space="0"/>
            </w:tcBorders>
            <w:shd w:val="clear" w:color="000000" w:fill="2350A0"/>
            <w:noWrap/>
            <w:vAlign w:val="center"/>
          </w:tcPr>
          <w:p>
            <w:pPr>
              <w:widowControl/>
              <w:spacing w:line="320" w:lineRule="exact"/>
              <w:jc w:val="center"/>
              <w:rPr>
                <w:rFonts w:ascii="Calibri" w:hAnsi="Calibri"/>
                <w:b/>
                <w:bCs/>
                <w:color w:val="FFFFFF"/>
                <w:kern w:val="0"/>
                <w:sz w:val="20"/>
                <w:szCs w:val="20"/>
              </w:rPr>
            </w:pPr>
            <w:r>
              <w:rPr>
                <w:rFonts w:hint="eastAsia" w:ascii="Calibri" w:hAnsi="Calibri"/>
                <w:b/>
                <w:bCs/>
                <w:color w:val="FFFFFF"/>
                <w:sz w:val="20"/>
                <w:szCs w:val="20"/>
              </w:rPr>
              <w:t>院系名称</w:t>
            </w:r>
          </w:p>
        </w:tc>
        <w:tc>
          <w:tcPr>
            <w:tcW w:w="5380" w:type="dxa"/>
            <w:tcBorders>
              <w:top w:val="nil"/>
              <w:left w:val="nil"/>
              <w:bottom w:val="nil"/>
              <w:right w:val="single" w:color="FFFFFF" w:sz="12" w:space="0"/>
            </w:tcBorders>
            <w:shd w:val="clear" w:color="000000" w:fill="2350A0"/>
            <w:noWrap/>
            <w:vAlign w:val="center"/>
          </w:tcPr>
          <w:p>
            <w:pPr>
              <w:spacing w:line="320" w:lineRule="exact"/>
              <w:jc w:val="center"/>
              <w:rPr>
                <w:rFonts w:hint="eastAsia" w:ascii="Calibri" w:hAnsi="Calibri"/>
                <w:b/>
                <w:bCs/>
                <w:color w:val="FFFFFF"/>
                <w:sz w:val="20"/>
                <w:szCs w:val="20"/>
              </w:rPr>
            </w:pPr>
            <w:r>
              <w:rPr>
                <w:rFonts w:hint="eastAsia" w:ascii="Calibri" w:hAnsi="Calibri"/>
                <w:b/>
                <w:bCs/>
                <w:color w:val="FFFFFF"/>
                <w:sz w:val="20"/>
                <w:szCs w:val="20"/>
              </w:rPr>
              <w:t>本校该院系毕业生从事的主要职业</w:t>
            </w:r>
          </w:p>
        </w:tc>
      </w:tr>
      <w:tr>
        <w:tblPrEx>
          <w:tblCellMar>
            <w:top w:w="0" w:type="dxa"/>
            <w:left w:w="108" w:type="dxa"/>
            <w:bottom w:w="0" w:type="dxa"/>
            <w:right w:w="108" w:type="dxa"/>
          </w:tblCellMar>
        </w:tblPrEx>
        <w:trPr>
          <w:trHeight w:val="270" w:hRule="atLeast"/>
        </w:trPr>
        <w:tc>
          <w:tcPr>
            <w:tcW w:w="3510" w:type="dxa"/>
            <w:tcBorders>
              <w:top w:val="nil"/>
              <w:left w:val="nil"/>
              <w:bottom w:val="nil"/>
              <w:right w:val="nil"/>
            </w:tcBorders>
            <w:shd w:val="clear" w:color="000000" w:fill="FFFFFF"/>
            <w:noWrap/>
            <w:vAlign w:val="center"/>
          </w:tcPr>
          <w:p>
            <w:pPr>
              <w:spacing w:line="320" w:lineRule="exact"/>
              <w:jc w:val="left"/>
              <w:rPr>
                <w:rFonts w:hint="eastAsia" w:ascii="Calibri" w:hAnsi="Calibri"/>
                <w:color w:val="000000"/>
                <w:sz w:val="20"/>
                <w:szCs w:val="20"/>
              </w:rPr>
            </w:pPr>
            <w:r>
              <w:rPr>
                <w:rFonts w:hint="eastAsia" w:ascii="Calibri" w:hAnsi="Calibri"/>
                <w:color w:val="000000"/>
                <w:sz w:val="20"/>
                <w:szCs w:val="20"/>
              </w:rPr>
              <w:t>国际商务系</w:t>
            </w:r>
          </w:p>
        </w:tc>
        <w:tc>
          <w:tcPr>
            <w:tcW w:w="5380" w:type="dxa"/>
            <w:tcBorders>
              <w:top w:val="nil"/>
              <w:left w:val="nil"/>
              <w:bottom w:val="nil"/>
              <w:right w:val="nil"/>
            </w:tcBorders>
            <w:shd w:val="clear" w:color="000000" w:fill="FFFFFF"/>
            <w:noWrap/>
            <w:vAlign w:val="center"/>
          </w:tcPr>
          <w:p>
            <w:pPr>
              <w:spacing w:line="320" w:lineRule="exact"/>
              <w:rPr>
                <w:rFonts w:hint="eastAsia" w:ascii="Calibri" w:hAnsi="Calibri"/>
                <w:color w:val="000000"/>
                <w:sz w:val="20"/>
                <w:szCs w:val="20"/>
              </w:rPr>
            </w:pPr>
            <w:r>
              <w:rPr>
                <w:rFonts w:hint="eastAsia" w:ascii="Calibri" w:hAnsi="Calibri"/>
                <w:color w:val="000000"/>
                <w:sz w:val="20"/>
                <w:szCs w:val="20"/>
              </w:rPr>
              <w:t>文员；电子商务专员；网上商家</w:t>
            </w:r>
          </w:p>
        </w:tc>
      </w:tr>
      <w:tr>
        <w:tblPrEx>
          <w:tblCellMar>
            <w:top w:w="0" w:type="dxa"/>
            <w:left w:w="108" w:type="dxa"/>
            <w:bottom w:w="0" w:type="dxa"/>
            <w:right w:w="108" w:type="dxa"/>
          </w:tblCellMar>
        </w:tblPrEx>
        <w:trPr>
          <w:trHeight w:val="270" w:hRule="atLeast"/>
        </w:trPr>
        <w:tc>
          <w:tcPr>
            <w:tcW w:w="3510" w:type="dxa"/>
            <w:tcBorders>
              <w:top w:val="nil"/>
              <w:left w:val="nil"/>
              <w:bottom w:val="nil"/>
              <w:right w:val="nil"/>
            </w:tcBorders>
            <w:shd w:val="clear" w:color="000000" w:fill="BEEDF8"/>
            <w:noWrap/>
            <w:vAlign w:val="center"/>
          </w:tcPr>
          <w:p>
            <w:pPr>
              <w:spacing w:line="320" w:lineRule="exact"/>
              <w:rPr>
                <w:rFonts w:hint="eastAsia" w:ascii="Calibri" w:hAnsi="Calibri"/>
                <w:color w:val="000000"/>
                <w:sz w:val="20"/>
                <w:szCs w:val="20"/>
              </w:rPr>
            </w:pPr>
            <w:r>
              <w:rPr>
                <w:rFonts w:hint="eastAsia" w:ascii="Calibri" w:hAnsi="Calibri"/>
                <w:color w:val="000000"/>
                <w:sz w:val="20"/>
                <w:szCs w:val="20"/>
              </w:rPr>
              <w:t>旅游系</w:t>
            </w:r>
          </w:p>
        </w:tc>
        <w:tc>
          <w:tcPr>
            <w:tcW w:w="5380" w:type="dxa"/>
            <w:tcBorders>
              <w:top w:val="nil"/>
              <w:left w:val="nil"/>
              <w:bottom w:val="nil"/>
              <w:right w:val="nil"/>
            </w:tcBorders>
            <w:shd w:val="clear" w:color="000000" w:fill="BEEDF8"/>
            <w:noWrap/>
            <w:vAlign w:val="center"/>
          </w:tcPr>
          <w:p>
            <w:pPr>
              <w:spacing w:line="320" w:lineRule="exact"/>
              <w:rPr>
                <w:rFonts w:hint="eastAsia" w:ascii="Calibri" w:hAnsi="Calibri"/>
                <w:color w:val="000000"/>
                <w:sz w:val="20"/>
                <w:szCs w:val="20"/>
              </w:rPr>
            </w:pPr>
            <w:r>
              <w:rPr>
                <w:rFonts w:hint="eastAsia" w:ascii="Calibri" w:hAnsi="Calibri"/>
                <w:color w:val="000000"/>
                <w:sz w:val="20"/>
                <w:szCs w:val="20"/>
              </w:rPr>
              <w:t>餐饮服务生；旅店服务人员；预订票务代理和旅游服务人员</w:t>
            </w:r>
          </w:p>
        </w:tc>
      </w:tr>
      <w:tr>
        <w:tblPrEx>
          <w:tblCellMar>
            <w:top w:w="0" w:type="dxa"/>
            <w:left w:w="108" w:type="dxa"/>
            <w:bottom w:w="0" w:type="dxa"/>
            <w:right w:w="108" w:type="dxa"/>
          </w:tblCellMar>
        </w:tblPrEx>
        <w:trPr>
          <w:trHeight w:val="270" w:hRule="atLeast"/>
        </w:trPr>
        <w:tc>
          <w:tcPr>
            <w:tcW w:w="3510" w:type="dxa"/>
            <w:tcBorders>
              <w:top w:val="nil"/>
              <w:left w:val="nil"/>
              <w:bottom w:val="nil"/>
              <w:right w:val="nil"/>
            </w:tcBorders>
            <w:shd w:val="clear" w:color="000000" w:fill="FFFFFF"/>
            <w:noWrap/>
            <w:vAlign w:val="center"/>
          </w:tcPr>
          <w:p>
            <w:pPr>
              <w:spacing w:line="320" w:lineRule="exact"/>
              <w:rPr>
                <w:rFonts w:hint="eastAsia" w:ascii="Calibri" w:hAnsi="Calibri"/>
                <w:color w:val="000000"/>
                <w:sz w:val="20"/>
                <w:szCs w:val="20"/>
              </w:rPr>
            </w:pPr>
            <w:r>
              <w:rPr>
                <w:rFonts w:hint="eastAsia" w:ascii="Calibri" w:hAnsi="Calibri"/>
                <w:color w:val="000000"/>
                <w:sz w:val="20"/>
                <w:szCs w:val="20"/>
              </w:rPr>
              <w:t>西语系</w:t>
            </w:r>
          </w:p>
        </w:tc>
        <w:tc>
          <w:tcPr>
            <w:tcW w:w="5380" w:type="dxa"/>
            <w:tcBorders>
              <w:top w:val="nil"/>
              <w:left w:val="nil"/>
              <w:bottom w:val="nil"/>
              <w:right w:val="nil"/>
            </w:tcBorders>
            <w:shd w:val="clear" w:color="000000" w:fill="FFFFFF"/>
            <w:noWrap/>
            <w:vAlign w:val="center"/>
          </w:tcPr>
          <w:p>
            <w:pPr>
              <w:spacing w:line="320" w:lineRule="exact"/>
              <w:rPr>
                <w:rFonts w:hint="eastAsia" w:ascii="Calibri" w:hAnsi="Calibri"/>
                <w:color w:val="000000"/>
                <w:sz w:val="20"/>
                <w:szCs w:val="20"/>
              </w:rPr>
            </w:pPr>
            <w:r>
              <w:rPr>
                <w:rFonts w:hint="eastAsia" w:ascii="Calibri" w:hAnsi="Calibri"/>
                <w:color w:val="000000"/>
                <w:sz w:val="20"/>
                <w:szCs w:val="20"/>
              </w:rPr>
              <w:t>电子商务专员；翻译人员；客服专员</w:t>
            </w:r>
          </w:p>
        </w:tc>
      </w:tr>
      <w:tr>
        <w:tblPrEx>
          <w:tblCellMar>
            <w:top w:w="0" w:type="dxa"/>
            <w:left w:w="108" w:type="dxa"/>
            <w:bottom w:w="0" w:type="dxa"/>
            <w:right w:w="108" w:type="dxa"/>
          </w:tblCellMar>
        </w:tblPrEx>
        <w:trPr>
          <w:trHeight w:val="285" w:hRule="atLeast"/>
        </w:trPr>
        <w:tc>
          <w:tcPr>
            <w:tcW w:w="3510" w:type="dxa"/>
            <w:tcBorders>
              <w:top w:val="nil"/>
              <w:left w:val="nil"/>
              <w:bottom w:val="single" w:color="57B8E7" w:sz="12" w:space="0"/>
              <w:right w:val="nil"/>
            </w:tcBorders>
            <w:shd w:val="clear" w:color="000000" w:fill="BEEDF8"/>
            <w:noWrap/>
            <w:vAlign w:val="center"/>
          </w:tcPr>
          <w:p>
            <w:pPr>
              <w:spacing w:line="320" w:lineRule="exact"/>
              <w:rPr>
                <w:rFonts w:hint="eastAsia" w:ascii="Calibri" w:hAnsi="Calibri"/>
                <w:color w:val="000000"/>
                <w:sz w:val="20"/>
                <w:szCs w:val="20"/>
              </w:rPr>
            </w:pPr>
            <w:r>
              <w:rPr>
                <w:rFonts w:hint="eastAsia" w:ascii="Calibri" w:hAnsi="Calibri"/>
                <w:color w:val="000000"/>
                <w:sz w:val="20"/>
                <w:szCs w:val="20"/>
              </w:rPr>
              <w:t>英语系</w:t>
            </w:r>
          </w:p>
        </w:tc>
        <w:tc>
          <w:tcPr>
            <w:tcW w:w="5380" w:type="dxa"/>
            <w:tcBorders>
              <w:top w:val="nil"/>
              <w:left w:val="nil"/>
              <w:bottom w:val="single" w:color="57B8E7" w:sz="12" w:space="0"/>
              <w:right w:val="nil"/>
            </w:tcBorders>
            <w:shd w:val="clear" w:color="000000" w:fill="BEEDF8"/>
            <w:noWrap/>
            <w:vAlign w:val="center"/>
          </w:tcPr>
          <w:p>
            <w:pPr>
              <w:spacing w:line="320" w:lineRule="exact"/>
              <w:rPr>
                <w:rFonts w:hint="eastAsia" w:ascii="Calibri" w:hAnsi="Calibri"/>
                <w:color w:val="000000"/>
                <w:sz w:val="20"/>
                <w:szCs w:val="20"/>
              </w:rPr>
            </w:pPr>
            <w:r>
              <w:rPr>
                <w:rFonts w:hint="eastAsia" w:ascii="Calibri" w:hAnsi="Calibri"/>
                <w:color w:val="000000"/>
                <w:sz w:val="20"/>
                <w:szCs w:val="20"/>
              </w:rPr>
              <w:t>小学教师；幼儿教师</w:t>
            </w:r>
          </w:p>
        </w:tc>
      </w:tr>
    </w:tbl>
    <w:p>
      <w:pPr>
        <w:jc w:val="left"/>
        <w:rPr>
          <w:rFonts w:hint="eastAsia" w:asciiTheme="minorEastAsia" w:hAnsiTheme="minorEastAsia" w:eastAsiaTheme="minorEastAsia" w:cstheme="minorEastAsia"/>
          <w:color w:val="000000"/>
          <w:sz w:val="21"/>
          <w:szCs w:val="32"/>
        </w:rPr>
      </w:pPr>
      <w:r>
        <w:rPr>
          <w:rFonts w:hint="eastAsia" w:asciiTheme="minorEastAsia" w:hAnsiTheme="minorEastAsia" w:eastAsiaTheme="minorEastAsia" w:cstheme="minorEastAsia"/>
          <w:color w:val="000000"/>
          <w:sz w:val="21"/>
          <w:szCs w:val="32"/>
        </w:rPr>
        <w:t>注：个别院系因样本较少没有包括在内。</w:t>
      </w:r>
    </w:p>
    <w:p>
      <w:pPr>
        <w:jc w:val="left"/>
        <w:rPr>
          <w:rFonts w:hint="eastAsia" w:asciiTheme="minorEastAsia" w:hAnsiTheme="minorEastAsia" w:eastAsiaTheme="minorEastAsia" w:cstheme="minorEastAsia"/>
          <w:color w:val="000000"/>
          <w:sz w:val="21"/>
          <w:szCs w:val="32"/>
        </w:rPr>
      </w:pPr>
      <w:r>
        <w:rPr>
          <w:rFonts w:hint="eastAsia" w:asciiTheme="minorEastAsia" w:hAnsiTheme="minorEastAsia" w:eastAsiaTheme="minorEastAsia" w:cstheme="minorEastAsia"/>
          <w:color w:val="000000"/>
          <w:sz w:val="21"/>
          <w:szCs w:val="32"/>
        </w:rPr>
        <w:t>数据来源：麦可思-海南外国语职业学院2019届毕业生培养质量评价数据。</w:t>
      </w:r>
      <w:bookmarkEnd w:id="92"/>
    </w:p>
    <w:p>
      <w:pPr>
        <w:spacing w:line="240" w:lineRule="auto"/>
        <w:jc w:val="left"/>
        <w:rPr>
          <w:rFonts w:hint="eastAsia" w:ascii="Calibri" w:hAnsi="Calibri" w:cs="Arial"/>
          <w:kern w:val="0"/>
          <w:sz w:val="18"/>
          <w:szCs w:val="18"/>
        </w:rPr>
      </w:pPr>
    </w:p>
    <w:p>
      <w:pPr>
        <w:pStyle w:val="8"/>
        <w:numPr>
          <w:ilvl w:val="0"/>
          <w:numId w:val="0"/>
        </w:numPr>
        <w:spacing w:line="360" w:lineRule="auto"/>
        <w:jc w:val="center"/>
        <w:rPr>
          <w:rFonts w:hint="eastAsia" w:asciiTheme="minorEastAsia" w:hAnsiTheme="minorEastAsia" w:eastAsiaTheme="minorEastAsia" w:cstheme="minorEastAsia"/>
          <w:b/>
          <w:bCs/>
          <w:kern w:val="2"/>
          <w:sz w:val="21"/>
          <w:szCs w:val="21"/>
          <w:lang w:val="en-US" w:eastAsia="zh-CN" w:bidi="ar-SA"/>
        </w:rPr>
      </w:pPr>
      <w:bookmarkStart w:id="98" w:name="_Toc23442230"/>
      <w:bookmarkStart w:id="99" w:name="itb_8003"/>
      <w:r>
        <w:rPr>
          <w:rFonts w:hint="eastAsia" w:asciiTheme="minorEastAsia" w:hAnsiTheme="minorEastAsia" w:eastAsiaTheme="minorEastAsia" w:cstheme="minorEastAsia"/>
          <w:b/>
          <w:bCs/>
          <w:kern w:val="2"/>
          <w:sz w:val="21"/>
          <w:szCs w:val="21"/>
          <w:lang w:val="en-US" w:eastAsia="zh-CN" w:bidi="ar-SA"/>
        </w:rPr>
        <w:t>表 1-8各专业毕业生实际从事的主要职业</w:t>
      </w:r>
      <w:bookmarkEnd w:id="98"/>
    </w:p>
    <w:tbl>
      <w:tblPr>
        <w:tblStyle w:val="14"/>
        <w:tblW w:w="8890" w:type="dxa"/>
        <w:tblInd w:w="0" w:type="dxa"/>
        <w:tblLayout w:type="fixed"/>
        <w:tblCellMar>
          <w:top w:w="0" w:type="dxa"/>
          <w:left w:w="108" w:type="dxa"/>
          <w:bottom w:w="0" w:type="dxa"/>
          <w:right w:w="108" w:type="dxa"/>
        </w:tblCellMar>
      </w:tblPr>
      <w:tblGrid>
        <w:gridCol w:w="2818"/>
        <w:gridCol w:w="2818"/>
        <w:gridCol w:w="3254"/>
      </w:tblGrid>
      <w:tr>
        <w:tblPrEx>
          <w:tblCellMar>
            <w:top w:w="0" w:type="dxa"/>
            <w:left w:w="108" w:type="dxa"/>
            <w:bottom w:w="0" w:type="dxa"/>
            <w:right w:w="108" w:type="dxa"/>
          </w:tblCellMar>
        </w:tblPrEx>
        <w:trPr>
          <w:trHeight w:val="270" w:hRule="atLeast"/>
          <w:tblHeader/>
        </w:trPr>
        <w:tc>
          <w:tcPr>
            <w:tcW w:w="2818" w:type="dxa"/>
            <w:tcBorders>
              <w:top w:val="nil"/>
              <w:left w:val="nil"/>
              <w:bottom w:val="nil"/>
              <w:right w:val="single" w:color="FFFFFF" w:sz="12" w:space="0"/>
            </w:tcBorders>
            <w:shd w:val="clear" w:color="000000" w:fill="2350A0"/>
            <w:noWrap/>
            <w:vAlign w:val="center"/>
          </w:tcPr>
          <w:p>
            <w:pPr>
              <w:widowControl/>
              <w:spacing w:line="320" w:lineRule="exact"/>
              <w:jc w:val="center"/>
              <w:rPr>
                <w:rFonts w:ascii="Calibri" w:hAnsi="Calibri"/>
                <w:b/>
                <w:bCs/>
                <w:color w:val="FFFFFF"/>
                <w:kern w:val="0"/>
                <w:sz w:val="20"/>
                <w:szCs w:val="20"/>
              </w:rPr>
            </w:pPr>
            <w:r>
              <w:rPr>
                <w:rFonts w:hint="eastAsia" w:ascii="Calibri" w:hAnsi="Calibri"/>
                <w:b/>
                <w:bCs/>
                <w:color w:val="FFFFFF"/>
                <w:sz w:val="20"/>
                <w:szCs w:val="20"/>
              </w:rPr>
              <w:t>院系名称</w:t>
            </w:r>
          </w:p>
        </w:tc>
        <w:tc>
          <w:tcPr>
            <w:tcW w:w="2818" w:type="dxa"/>
            <w:tcBorders>
              <w:top w:val="nil"/>
              <w:left w:val="nil"/>
              <w:bottom w:val="nil"/>
              <w:right w:val="single" w:color="FFFFFF" w:sz="12" w:space="0"/>
            </w:tcBorders>
            <w:shd w:val="clear" w:color="000000" w:fill="2350A0"/>
            <w:noWrap/>
            <w:vAlign w:val="center"/>
          </w:tcPr>
          <w:p>
            <w:pPr>
              <w:spacing w:line="320" w:lineRule="exact"/>
              <w:jc w:val="center"/>
              <w:rPr>
                <w:rFonts w:hint="eastAsia" w:ascii="Calibri" w:hAnsi="Calibri"/>
                <w:b/>
                <w:bCs/>
                <w:color w:val="FFFFFF"/>
                <w:sz w:val="20"/>
                <w:szCs w:val="20"/>
              </w:rPr>
            </w:pPr>
            <w:r>
              <w:rPr>
                <w:rFonts w:hint="eastAsia" w:ascii="Calibri" w:hAnsi="Calibri"/>
                <w:b/>
                <w:bCs/>
                <w:color w:val="FFFFFF"/>
                <w:sz w:val="20"/>
                <w:szCs w:val="20"/>
              </w:rPr>
              <w:t>专业名称</w:t>
            </w:r>
          </w:p>
        </w:tc>
        <w:tc>
          <w:tcPr>
            <w:tcW w:w="3254" w:type="dxa"/>
            <w:tcBorders>
              <w:top w:val="nil"/>
              <w:left w:val="nil"/>
              <w:bottom w:val="nil"/>
              <w:right w:val="single" w:color="FFFFFF" w:sz="12" w:space="0"/>
            </w:tcBorders>
            <w:shd w:val="clear" w:color="000000" w:fill="2350A0"/>
            <w:noWrap/>
            <w:vAlign w:val="center"/>
          </w:tcPr>
          <w:p>
            <w:pPr>
              <w:spacing w:line="320" w:lineRule="exact"/>
              <w:jc w:val="center"/>
              <w:rPr>
                <w:rFonts w:hint="eastAsia" w:ascii="Calibri" w:hAnsi="Calibri"/>
                <w:b/>
                <w:bCs/>
                <w:color w:val="FFFFFF"/>
                <w:sz w:val="20"/>
                <w:szCs w:val="20"/>
              </w:rPr>
            </w:pPr>
            <w:r>
              <w:rPr>
                <w:rFonts w:hint="eastAsia" w:ascii="Calibri" w:hAnsi="Calibri"/>
                <w:b/>
                <w:bCs/>
                <w:color w:val="FFFFFF"/>
                <w:sz w:val="20"/>
                <w:szCs w:val="20"/>
              </w:rPr>
              <w:t>本校该专业毕业生从事的主要职业</w:t>
            </w:r>
          </w:p>
        </w:tc>
      </w:tr>
      <w:tr>
        <w:tblPrEx>
          <w:tblCellMar>
            <w:top w:w="0" w:type="dxa"/>
            <w:left w:w="108" w:type="dxa"/>
            <w:bottom w:w="0" w:type="dxa"/>
            <w:right w:w="108" w:type="dxa"/>
          </w:tblCellMar>
        </w:tblPrEx>
        <w:trPr>
          <w:trHeight w:val="270" w:hRule="atLeast"/>
        </w:trPr>
        <w:tc>
          <w:tcPr>
            <w:tcW w:w="2818" w:type="dxa"/>
            <w:tcBorders>
              <w:top w:val="nil"/>
              <w:left w:val="nil"/>
              <w:bottom w:val="nil"/>
              <w:right w:val="nil"/>
            </w:tcBorders>
            <w:shd w:val="clear" w:color="000000" w:fill="FFFFFF"/>
            <w:noWrap/>
            <w:vAlign w:val="center"/>
          </w:tcPr>
          <w:p>
            <w:pPr>
              <w:spacing w:line="320" w:lineRule="exact"/>
              <w:jc w:val="left"/>
              <w:rPr>
                <w:rFonts w:hint="eastAsia" w:ascii="Calibri" w:hAnsi="Calibri"/>
                <w:color w:val="000000"/>
                <w:sz w:val="20"/>
                <w:szCs w:val="20"/>
              </w:rPr>
            </w:pPr>
            <w:r>
              <w:rPr>
                <w:rFonts w:hint="eastAsia" w:ascii="Calibri" w:hAnsi="Calibri"/>
                <w:color w:val="000000"/>
                <w:sz w:val="20"/>
                <w:szCs w:val="20"/>
              </w:rPr>
              <w:t>国际商务系</w:t>
            </w:r>
          </w:p>
        </w:tc>
        <w:tc>
          <w:tcPr>
            <w:tcW w:w="2818" w:type="dxa"/>
            <w:tcBorders>
              <w:top w:val="nil"/>
              <w:left w:val="nil"/>
              <w:bottom w:val="nil"/>
              <w:right w:val="nil"/>
            </w:tcBorders>
            <w:shd w:val="clear" w:color="000000" w:fill="FFFFFF"/>
            <w:noWrap/>
            <w:vAlign w:val="center"/>
          </w:tcPr>
          <w:p>
            <w:pPr>
              <w:spacing w:line="320" w:lineRule="exact"/>
              <w:rPr>
                <w:rFonts w:hint="eastAsia" w:ascii="Calibri" w:hAnsi="Calibri"/>
                <w:color w:val="000000"/>
                <w:sz w:val="20"/>
                <w:szCs w:val="20"/>
              </w:rPr>
            </w:pPr>
            <w:r>
              <w:rPr>
                <w:rFonts w:hint="eastAsia" w:ascii="Calibri" w:hAnsi="Calibri"/>
                <w:color w:val="000000"/>
                <w:sz w:val="20"/>
                <w:szCs w:val="20"/>
              </w:rPr>
              <w:t>电子商务</w:t>
            </w:r>
          </w:p>
        </w:tc>
        <w:tc>
          <w:tcPr>
            <w:tcW w:w="3254" w:type="dxa"/>
            <w:tcBorders>
              <w:top w:val="nil"/>
              <w:left w:val="nil"/>
              <w:bottom w:val="nil"/>
              <w:right w:val="nil"/>
            </w:tcBorders>
            <w:shd w:val="clear" w:color="000000" w:fill="FFFFFF"/>
            <w:noWrap/>
            <w:vAlign w:val="center"/>
          </w:tcPr>
          <w:p>
            <w:pPr>
              <w:spacing w:line="320" w:lineRule="exact"/>
              <w:rPr>
                <w:rFonts w:hint="eastAsia" w:ascii="Calibri" w:hAnsi="Calibri"/>
                <w:color w:val="000000"/>
                <w:sz w:val="20"/>
                <w:szCs w:val="20"/>
              </w:rPr>
            </w:pPr>
            <w:r>
              <w:rPr>
                <w:rFonts w:hint="eastAsia" w:ascii="Calibri" w:hAnsi="Calibri"/>
                <w:color w:val="000000"/>
                <w:sz w:val="20"/>
                <w:szCs w:val="20"/>
              </w:rPr>
              <w:t>电子商务专员</w:t>
            </w:r>
          </w:p>
        </w:tc>
      </w:tr>
      <w:tr>
        <w:tblPrEx>
          <w:tblCellMar>
            <w:top w:w="0" w:type="dxa"/>
            <w:left w:w="108" w:type="dxa"/>
            <w:bottom w:w="0" w:type="dxa"/>
            <w:right w:w="108" w:type="dxa"/>
          </w:tblCellMar>
        </w:tblPrEx>
        <w:trPr>
          <w:trHeight w:val="270" w:hRule="atLeast"/>
        </w:trPr>
        <w:tc>
          <w:tcPr>
            <w:tcW w:w="2818" w:type="dxa"/>
            <w:tcBorders>
              <w:top w:val="nil"/>
              <w:left w:val="nil"/>
              <w:bottom w:val="nil"/>
              <w:right w:val="nil"/>
            </w:tcBorders>
            <w:shd w:val="clear" w:color="000000" w:fill="BEEDF8"/>
            <w:noWrap/>
            <w:vAlign w:val="center"/>
          </w:tcPr>
          <w:p>
            <w:pPr>
              <w:spacing w:line="320" w:lineRule="exact"/>
              <w:rPr>
                <w:rFonts w:hint="eastAsia" w:ascii="Calibri" w:hAnsi="Calibri"/>
                <w:color w:val="000000"/>
                <w:sz w:val="20"/>
                <w:szCs w:val="20"/>
              </w:rPr>
            </w:pPr>
            <w:r>
              <w:rPr>
                <w:rFonts w:hint="eastAsia" w:ascii="Calibri" w:hAnsi="Calibri"/>
                <w:color w:val="000000"/>
                <w:sz w:val="20"/>
                <w:szCs w:val="20"/>
              </w:rPr>
              <w:t>国际商务系</w:t>
            </w:r>
          </w:p>
        </w:tc>
        <w:tc>
          <w:tcPr>
            <w:tcW w:w="2818" w:type="dxa"/>
            <w:tcBorders>
              <w:top w:val="nil"/>
              <w:left w:val="nil"/>
              <w:bottom w:val="nil"/>
              <w:right w:val="nil"/>
            </w:tcBorders>
            <w:shd w:val="clear" w:color="000000" w:fill="BEEDF8"/>
            <w:noWrap/>
            <w:vAlign w:val="center"/>
          </w:tcPr>
          <w:p>
            <w:pPr>
              <w:spacing w:line="320" w:lineRule="exact"/>
              <w:rPr>
                <w:rFonts w:hint="eastAsia" w:ascii="Calibri" w:hAnsi="Calibri"/>
                <w:color w:val="000000"/>
                <w:sz w:val="20"/>
                <w:szCs w:val="20"/>
              </w:rPr>
            </w:pPr>
            <w:r>
              <w:rPr>
                <w:rFonts w:hint="eastAsia" w:ascii="Calibri" w:hAnsi="Calibri"/>
                <w:color w:val="000000"/>
                <w:sz w:val="20"/>
                <w:szCs w:val="20"/>
              </w:rPr>
              <w:t>会计</w:t>
            </w:r>
          </w:p>
        </w:tc>
        <w:tc>
          <w:tcPr>
            <w:tcW w:w="3254" w:type="dxa"/>
            <w:tcBorders>
              <w:top w:val="nil"/>
              <w:left w:val="nil"/>
              <w:bottom w:val="nil"/>
              <w:right w:val="nil"/>
            </w:tcBorders>
            <w:shd w:val="clear" w:color="000000" w:fill="BEEDF8"/>
            <w:noWrap/>
            <w:vAlign w:val="center"/>
          </w:tcPr>
          <w:p>
            <w:pPr>
              <w:spacing w:line="320" w:lineRule="exact"/>
              <w:rPr>
                <w:rFonts w:hint="eastAsia" w:ascii="Calibri" w:hAnsi="Calibri"/>
                <w:color w:val="000000"/>
                <w:sz w:val="20"/>
                <w:szCs w:val="20"/>
              </w:rPr>
            </w:pPr>
            <w:r>
              <w:rPr>
                <w:rFonts w:hint="eastAsia" w:ascii="Calibri" w:hAnsi="Calibri"/>
                <w:color w:val="000000"/>
                <w:sz w:val="20"/>
                <w:szCs w:val="20"/>
              </w:rPr>
              <w:t>会计</w:t>
            </w:r>
          </w:p>
        </w:tc>
      </w:tr>
      <w:tr>
        <w:tblPrEx>
          <w:tblCellMar>
            <w:top w:w="0" w:type="dxa"/>
            <w:left w:w="108" w:type="dxa"/>
            <w:bottom w:w="0" w:type="dxa"/>
            <w:right w:w="108" w:type="dxa"/>
          </w:tblCellMar>
        </w:tblPrEx>
        <w:trPr>
          <w:trHeight w:val="270" w:hRule="atLeast"/>
        </w:trPr>
        <w:tc>
          <w:tcPr>
            <w:tcW w:w="2818" w:type="dxa"/>
            <w:tcBorders>
              <w:top w:val="nil"/>
              <w:left w:val="nil"/>
              <w:bottom w:val="nil"/>
              <w:right w:val="nil"/>
            </w:tcBorders>
            <w:shd w:val="clear" w:color="000000" w:fill="FFFFFF"/>
            <w:noWrap/>
            <w:vAlign w:val="center"/>
          </w:tcPr>
          <w:p>
            <w:pPr>
              <w:spacing w:line="320" w:lineRule="exact"/>
              <w:rPr>
                <w:rFonts w:hint="eastAsia" w:ascii="Calibri" w:hAnsi="Calibri"/>
                <w:color w:val="000000"/>
                <w:sz w:val="20"/>
                <w:szCs w:val="20"/>
              </w:rPr>
            </w:pPr>
            <w:r>
              <w:rPr>
                <w:rFonts w:hint="eastAsia" w:ascii="Calibri" w:hAnsi="Calibri"/>
                <w:color w:val="000000"/>
                <w:sz w:val="20"/>
                <w:szCs w:val="20"/>
              </w:rPr>
              <w:t>旅游系</w:t>
            </w:r>
          </w:p>
        </w:tc>
        <w:tc>
          <w:tcPr>
            <w:tcW w:w="2818" w:type="dxa"/>
            <w:tcBorders>
              <w:top w:val="nil"/>
              <w:left w:val="nil"/>
              <w:bottom w:val="nil"/>
              <w:right w:val="nil"/>
            </w:tcBorders>
            <w:shd w:val="clear" w:color="000000" w:fill="FFFFFF"/>
            <w:noWrap/>
            <w:vAlign w:val="center"/>
          </w:tcPr>
          <w:p>
            <w:pPr>
              <w:spacing w:line="320" w:lineRule="exact"/>
              <w:rPr>
                <w:rFonts w:hint="eastAsia" w:ascii="Calibri" w:hAnsi="Calibri"/>
                <w:color w:val="000000"/>
                <w:sz w:val="20"/>
                <w:szCs w:val="20"/>
              </w:rPr>
            </w:pPr>
            <w:r>
              <w:rPr>
                <w:rFonts w:hint="eastAsia" w:ascii="Calibri" w:hAnsi="Calibri"/>
                <w:color w:val="000000"/>
                <w:sz w:val="20"/>
                <w:szCs w:val="20"/>
              </w:rPr>
              <w:t>酒店管理</w:t>
            </w:r>
          </w:p>
        </w:tc>
        <w:tc>
          <w:tcPr>
            <w:tcW w:w="3254" w:type="dxa"/>
            <w:tcBorders>
              <w:top w:val="nil"/>
              <w:left w:val="nil"/>
              <w:bottom w:val="nil"/>
              <w:right w:val="nil"/>
            </w:tcBorders>
            <w:shd w:val="clear" w:color="000000" w:fill="FFFFFF"/>
            <w:noWrap/>
            <w:vAlign w:val="center"/>
          </w:tcPr>
          <w:p>
            <w:pPr>
              <w:spacing w:line="320" w:lineRule="exact"/>
              <w:rPr>
                <w:rFonts w:hint="eastAsia" w:ascii="Calibri" w:hAnsi="Calibri"/>
                <w:color w:val="000000"/>
                <w:sz w:val="20"/>
                <w:szCs w:val="20"/>
              </w:rPr>
            </w:pPr>
            <w:r>
              <w:rPr>
                <w:rFonts w:hint="eastAsia" w:ascii="Calibri" w:hAnsi="Calibri"/>
                <w:color w:val="000000"/>
                <w:sz w:val="20"/>
                <w:szCs w:val="20"/>
              </w:rPr>
              <w:t>餐饮服务生</w:t>
            </w:r>
          </w:p>
        </w:tc>
      </w:tr>
      <w:tr>
        <w:tblPrEx>
          <w:tblCellMar>
            <w:top w:w="0" w:type="dxa"/>
            <w:left w:w="108" w:type="dxa"/>
            <w:bottom w:w="0" w:type="dxa"/>
            <w:right w:w="108" w:type="dxa"/>
          </w:tblCellMar>
        </w:tblPrEx>
        <w:trPr>
          <w:trHeight w:val="270" w:hRule="atLeast"/>
        </w:trPr>
        <w:tc>
          <w:tcPr>
            <w:tcW w:w="2818" w:type="dxa"/>
            <w:tcBorders>
              <w:top w:val="nil"/>
              <w:left w:val="nil"/>
              <w:bottom w:val="nil"/>
              <w:right w:val="nil"/>
            </w:tcBorders>
            <w:shd w:val="clear" w:color="000000" w:fill="BEEDF8"/>
            <w:noWrap/>
            <w:vAlign w:val="center"/>
          </w:tcPr>
          <w:p>
            <w:pPr>
              <w:spacing w:line="320" w:lineRule="exact"/>
              <w:rPr>
                <w:rFonts w:hint="eastAsia" w:ascii="Calibri" w:hAnsi="Calibri"/>
                <w:color w:val="000000"/>
                <w:sz w:val="20"/>
                <w:szCs w:val="20"/>
              </w:rPr>
            </w:pPr>
            <w:r>
              <w:rPr>
                <w:rFonts w:hint="eastAsia" w:ascii="Calibri" w:hAnsi="Calibri"/>
                <w:color w:val="000000"/>
                <w:sz w:val="20"/>
                <w:szCs w:val="20"/>
              </w:rPr>
              <w:t>旅游系</w:t>
            </w:r>
          </w:p>
        </w:tc>
        <w:tc>
          <w:tcPr>
            <w:tcW w:w="2818" w:type="dxa"/>
            <w:tcBorders>
              <w:top w:val="nil"/>
              <w:left w:val="nil"/>
              <w:bottom w:val="nil"/>
              <w:right w:val="nil"/>
            </w:tcBorders>
            <w:shd w:val="clear" w:color="000000" w:fill="BEEDF8"/>
            <w:noWrap/>
            <w:vAlign w:val="center"/>
          </w:tcPr>
          <w:p>
            <w:pPr>
              <w:spacing w:line="320" w:lineRule="exact"/>
              <w:rPr>
                <w:rFonts w:hint="eastAsia" w:ascii="Calibri" w:hAnsi="Calibri"/>
                <w:color w:val="000000"/>
                <w:sz w:val="20"/>
                <w:szCs w:val="20"/>
              </w:rPr>
            </w:pPr>
            <w:r>
              <w:rPr>
                <w:rFonts w:hint="eastAsia" w:ascii="Calibri" w:hAnsi="Calibri"/>
                <w:color w:val="000000"/>
                <w:sz w:val="20"/>
                <w:szCs w:val="20"/>
              </w:rPr>
              <w:t>旅游管理</w:t>
            </w:r>
          </w:p>
        </w:tc>
        <w:tc>
          <w:tcPr>
            <w:tcW w:w="3254" w:type="dxa"/>
            <w:tcBorders>
              <w:top w:val="nil"/>
              <w:left w:val="nil"/>
              <w:bottom w:val="nil"/>
              <w:right w:val="nil"/>
            </w:tcBorders>
            <w:shd w:val="clear" w:color="000000" w:fill="BEEDF8"/>
            <w:noWrap/>
            <w:vAlign w:val="center"/>
          </w:tcPr>
          <w:p>
            <w:pPr>
              <w:spacing w:line="320" w:lineRule="exact"/>
              <w:rPr>
                <w:rFonts w:hint="eastAsia" w:ascii="Calibri" w:hAnsi="Calibri"/>
                <w:color w:val="000000"/>
                <w:sz w:val="20"/>
                <w:szCs w:val="20"/>
              </w:rPr>
            </w:pPr>
            <w:r>
              <w:rPr>
                <w:rFonts w:hint="eastAsia" w:ascii="Calibri" w:hAnsi="Calibri"/>
                <w:color w:val="000000"/>
                <w:sz w:val="20"/>
                <w:szCs w:val="20"/>
              </w:rPr>
              <w:t>餐饮服务生</w:t>
            </w:r>
          </w:p>
        </w:tc>
      </w:tr>
      <w:tr>
        <w:tblPrEx>
          <w:tblCellMar>
            <w:top w:w="0" w:type="dxa"/>
            <w:left w:w="108" w:type="dxa"/>
            <w:bottom w:w="0" w:type="dxa"/>
            <w:right w:w="108" w:type="dxa"/>
          </w:tblCellMar>
        </w:tblPrEx>
        <w:trPr>
          <w:trHeight w:val="270" w:hRule="atLeast"/>
        </w:trPr>
        <w:tc>
          <w:tcPr>
            <w:tcW w:w="2818" w:type="dxa"/>
            <w:tcBorders>
              <w:top w:val="nil"/>
              <w:left w:val="nil"/>
              <w:bottom w:val="nil"/>
              <w:right w:val="nil"/>
            </w:tcBorders>
            <w:shd w:val="clear" w:color="000000" w:fill="FFFFFF"/>
            <w:noWrap/>
            <w:vAlign w:val="center"/>
          </w:tcPr>
          <w:p>
            <w:pPr>
              <w:spacing w:line="320" w:lineRule="exact"/>
              <w:rPr>
                <w:rFonts w:hint="eastAsia" w:ascii="Calibri" w:hAnsi="Calibri"/>
                <w:color w:val="000000"/>
                <w:sz w:val="20"/>
                <w:szCs w:val="20"/>
              </w:rPr>
            </w:pPr>
            <w:r>
              <w:rPr>
                <w:rFonts w:hint="eastAsia" w:ascii="Calibri" w:hAnsi="Calibri"/>
                <w:color w:val="000000"/>
                <w:sz w:val="20"/>
                <w:szCs w:val="20"/>
              </w:rPr>
              <w:t>旅游系</w:t>
            </w:r>
          </w:p>
        </w:tc>
        <w:tc>
          <w:tcPr>
            <w:tcW w:w="2818" w:type="dxa"/>
            <w:tcBorders>
              <w:top w:val="nil"/>
              <w:left w:val="nil"/>
              <w:bottom w:val="nil"/>
              <w:right w:val="nil"/>
            </w:tcBorders>
            <w:shd w:val="clear" w:color="000000" w:fill="FFFFFF"/>
            <w:noWrap/>
            <w:vAlign w:val="center"/>
          </w:tcPr>
          <w:p>
            <w:pPr>
              <w:spacing w:line="320" w:lineRule="exact"/>
              <w:rPr>
                <w:rFonts w:hint="eastAsia" w:ascii="Calibri" w:hAnsi="Calibri"/>
                <w:color w:val="000000"/>
                <w:sz w:val="20"/>
                <w:szCs w:val="20"/>
              </w:rPr>
            </w:pPr>
            <w:r>
              <w:rPr>
                <w:rFonts w:hint="eastAsia" w:ascii="Calibri" w:hAnsi="Calibri"/>
                <w:color w:val="000000"/>
                <w:sz w:val="20"/>
                <w:szCs w:val="20"/>
              </w:rPr>
              <w:t>烹调工艺与营养</w:t>
            </w:r>
          </w:p>
        </w:tc>
        <w:tc>
          <w:tcPr>
            <w:tcW w:w="3254" w:type="dxa"/>
            <w:tcBorders>
              <w:top w:val="nil"/>
              <w:left w:val="nil"/>
              <w:bottom w:val="nil"/>
              <w:right w:val="nil"/>
            </w:tcBorders>
            <w:shd w:val="clear" w:color="000000" w:fill="FFFFFF"/>
            <w:noWrap/>
            <w:vAlign w:val="center"/>
          </w:tcPr>
          <w:p>
            <w:pPr>
              <w:spacing w:line="320" w:lineRule="exact"/>
              <w:rPr>
                <w:rFonts w:hint="eastAsia" w:ascii="Calibri" w:hAnsi="Calibri"/>
                <w:color w:val="000000"/>
                <w:sz w:val="20"/>
                <w:szCs w:val="20"/>
              </w:rPr>
            </w:pPr>
            <w:r>
              <w:rPr>
                <w:rFonts w:hint="eastAsia" w:ascii="Calibri" w:hAnsi="Calibri"/>
                <w:color w:val="000000"/>
                <w:sz w:val="20"/>
                <w:szCs w:val="20"/>
              </w:rPr>
              <w:t>厨师</w:t>
            </w:r>
          </w:p>
        </w:tc>
      </w:tr>
      <w:tr>
        <w:tblPrEx>
          <w:tblCellMar>
            <w:top w:w="0" w:type="dxa"/>
            <w:left w:w="108" w:type="dxa"/>
            <w:bottom w:w="0" w:type="dxa"/>
            <w:right w:w="108" w:type="dxa"/>
          </w:tblCellMar>
        </w:tblPrEx>
        <w:trPr>
          <w:trHeight w:val="270" w:hRule="atLeast"/>
        </w:trPr>
        <w:tc>
          <w:tcPr>
            <w:tcW w:w="2818" w:type="dxa"/>
            <w:tcBorders>
              <w:top w:val="nil"/>
              <w:left w:val="nil"/>
              <w:bottom w:val="nil"/>
              <w:right w:val="nil"/>
            </w:tcBorders>
            <w:shd w:val="clear" w:color="000000" w:fill="BEEDF8"/>
            <w:noWrap/>
            <w:vAlign w:val="center"/>
          </w:tcPr>
          <w:p>
            <w:pPr>
              <w:spacing w:line="320" w:lineRule="exact"/>
              <w:rPr>
                <w:rFonts w:hint="eastAsia" w:ascii="Calibri" w:hAnsi="Calibri"/>
                <w:color w:val="000000"/>
                <w:sz w:val="20"/>
                <w:szCs w:val="20"/>
              </w:rPr>
            </w:pPr>
            <w:r>
              <w:rPr>
                <w:rFonts w:hint="eastAsia" w:ascii="Calibri" w:hAnsi="Calibri"/>
                <w:color w:val="000000"/>
                <w:sz w:val="20"/>
                <w:szCs w:val="20"/>
              </w:rPr>
              <w:t>西语系</w:t>
            </w:r>
          </w:p>
        </w:tc>
        <w:tc>
          <w:tcPr>
            <w:tcW w:w="2818" w:type="dxa"/>
            <w:tcBorders>
              <w:top w:val="nil"/>
              <w:left w:val="nil"/>
              <w:bottom w:val="nil"/>
              <w:right w:val="nil"/>
            </w:tcBorders>
            <w:shd w:val="clear" w:color="000000" w:fill="BEEDF8"/>
            <w:noWrap/>
            <w:vAlign w:val="center"/>
          </w:tcPr>
          <w:p>
            <w:pPr>
              <w:spacing w:line="320" w:lineRule="exact"/>
              <w:rPr>
                <w:rFonts w:hint="eastAsia" w:ascii="Calibri" w:hAnsi="Calibri"/>
                <w:color w:val="000000"/>
                <w:sz w:val="20"/>
                <w:szCs w:val="20"/>
              </w:rPr>
            </w:pPr>
            <w:r>
              <w:rPr>
                <w:rFonts w:hint="eastAsia" w:ascii="Calibri" w:hAnsi="Calibri"/>
                <w:color w:val="000000"/>
                <w:sz w:val="20"/>
                <w:szCs w:val="20"/>
              </w:rPr>
              <w:t>应用德语</w:t>
            </w:r>
          </w:p>
        </w:tc>
        <w:tc>
          <w:tcPr>
            <w:tcW w:w="3254" w:type="dxa"/>
            <w:tcBorders>
              <w:top w:val="nil"/>
              <w:left w:val="nil"/>
              <w:bottom w:val="nil"/>
              <w:right w:val="nil"/>
            </w:tcBorders>
            <w:shd w:val="clear" w:color="000000" w:fill="BEEDF8"/>
            <w:noWrap/>
            <w:vAlign w:val="center"/>
          </w:tcPr>
          <w:p>
            <w:pPr>
              <w:spacing w:line="320" w:lineRule="exact"/>
              <w:rPr>
                <w:rFonts w:hint="eastAsia" w:ascii="Calibri" w:hAnsi="Calibri"/>
                <w:color w:val="000000"/>
                <w:sz w:val="20"/>
                <w:szCs w:val="20"/>
              </w:rPr>
            </w:pPr>
            <w:r>
              <w:rPr>
                <w:rFonts w:hint="eastAsia" w:ascii="Calibri" w:hAnsi="Calibri"/>
                <w:color w:val="000000"/>
                <w:sz w:val="20"/>
                <w:szCs w:val="20"/>
              </w:rPr>
              <w:t>电子商务专员</w:t>
            </w:r>
          </w:p>
        </w:tc>
      </w:tr>
      <w:tr>
        <w:tblPrEx>
          <w:tblCellMar>
            <w:top w:w="0" w:type="dxa"/>
            <w:left w:w="108" w:type="dxa"/>
            <w:bottom w:w="0" w:type="dxa"/>
            <w:right w:w="108" w:type="dxa"/>
          </w:tblCellMar>
        </w:tblPrEx>
        <w:trPr>
          <w:trHeight w:val="270" w:hRule="atLeast"/>
        </w:trPr>
        <w:tc>
          <w:tcPr>
            <w:tcW w:w="2818" w:type="dxa"/>
            <w:tcBorders>
              <w:top w:val="nil"/>
              <w:left w:val="nil"/>
              <w:bottom w:val="nil"/>
              <w:right w:val="nil"/>
            </w:tcBorders>
            <w:shd w:val="clear" w:color="000000" w:fill="FFFFFF"/>
            <w:noWrap/>
            <w:vAlign w:val="center"/>
          </w:tcPr>
          <w:p>
            <w:pPr>
              <w:spacing w:line="320" w:lineRule="exact"/>
              <w:rPr>
                <w:rFonts w:hint="eastAsia" w:ascii="Calibri" w:hAnsi="Calibri"/>
                <w:color w:val="000000"/>
                <w:sz w:val="20"/>
                <w:szCs w:val="20"/>
              </w:rPr>
            </w:pPr>
            <w:r>
              <w:rPr>
                <w:rFonts w:hint="eastAsia" w:ascii="Calibri" w:hAnsi="Calibri"/>
                <w:color w:val="000000"/>
                <w:sz w:val="20"/>
                <w:szCs w:val="20"/>
              </w:rPr>
              <w:t>西语系</w:t>
            </w:r>
          </w:p>
        </w:tc>
        <w:tc>
          <w:tcPr>
            <w:tcW w:w="2818" w:type="dxa"/>
            <w:tcBorders>
              <w:top w:val="nil"/>
              <w:left w:val="nil"/>
              <w:bottom w:val="nil"/>
              <w:right w:val="nil"/>
            </w:tcBorders>
            <w:shd w:val="clear" w:color="000000" w:fill="FFFFFF"/>
            <w:noWrap/>
            <w:vAlign w:val="center"/>
          </w:tcPr>
          <w:p>
            <w:pPr>
              <w:spacing w:line="320" w:lineRule="exact"/>
              <w:rPr>
                <w:rFonts w:hint="eastAsia" w:ascii="Calibri" w:hAnsi="Calibri"/>
                <w:color w:val="000000"/>
                <w:sz w:val="20"/>
                <w:szCs w:val="20"/>
              </w:rPr>
            </w:pPr>
            <w:r>
              <w:rPr>
                <w:rFonts w:hint="eastAsia" w:ascii="Calibri" w:hAnsi="Calibri"/>
                <w:color w:val="000000"/>
                <w:sz w:val="20"/>
                <w:szCs w:val="20"/>
              </w:rPr>
              <w:t>应用法语</w:t>
            </w:r>
          </w:p>
        </w:tc>
        <w:tc>
          <w:tcPr>
            <w:tcW w:w="3254" w:type="dxa"/>
            <w:tcBorders>
              <w:top w:val="nil"/>
              <w:left w:val="nil"/>
              <w:bottom w:val="nil"/>
              <w:right w:val="nil"/>
            </w:tcBorders>
            <w:shd w:val="clear" w:color="000000" w:fill="FFFFFF"/>
            <w:noWrap/>
            <w:vAlign w:val="center"/>
          </w:tcPr>
          <w:p>
            <w:pPr>
              <w:spacing w:line="320" w:lineRule="exact"/>
              <w:rPr>
                <w:rFonts w:hint="eastAsia" w:ascii="Calibri" w:hAnsi="Calibri"/>
                <w:color w:val="000000"/>
                <w:sz w:val="20"/>
                <w:szCs w:val="20"/>
              </w:rPr>
            </w:pPr>
            <w:r>
              <w:rPr>
                <w:rFonts w:hint="eastAsia" w:ascii="Calibri" w:hAnsi="Calibri"/>
                <w:color w:val="000000"/>
                <w:sz w:val="20"/>
                <w:szCs w:val="20"/>
              </w:rPr>
              <w:t>翻译人员</w:t>
            </w:r>
          </w:p>
        </w:tc>
      </w:tr>
      <w:tr>
        <w:tblPrEx>
          <w:tblCellMar>
            <w:top w:w="0" w:type="dxa"/>
            <w:left w:w="108" w:type="dxa"/>
            <w:bottom w:w="0" w:type="dxa"/>
            <w:right w:w="108" w:type="dxa"/>
          </w:tblCellMar>
        </w:tblPrEx>
        <w:trPr>
          <w:trHeight w:val="270" w:hRule="atLeast"/>
        </w:trPr>
        <w:tc>
          <w:tcPr>
            <w:tcW w:w="2818" w:type="dxa"/>
            <w:tcBorders>
              <w:top w:val="nil"/>
              <w:left w:val="nil"/>
              <w:bottom w:val="nil"/>
              <w:right w:val="nil"/>
            </w:tcBorders>
            <w:shd w:val="clear" w:color="000000" w:fill="BEEDF8"/>
            <w:noWrap/>
            <w:vAlign w:val="center"/>
          </w:tcPr>
          <w:p>
            <w:pPr>
              <w:spacing w:line="320" w:lineRule="exact"/>
              <w:rPr>
                <w:rFonts w:hint="eastAsia" w:ascii="Calibri" w:hAnsi="Calibri"/>
                <w:color w:val="000000"/>
                <w:sz w:val="20"/>
                <w:szCs w:val="20"/>
              </w:rPr>
            </w:pPr>
            <w:r>
              <w:rPr>
                <w:rFonts w:hint="eastAsia" w:ascii="Calibri" w:hAnsi="Calibri"/>
                <w:color w:val="000000"/>
                <w:sz w:val="20"/>
                <w:szCs w:val="20"/>
              </w:rPr>
              <w:t>西语系</w:t>
            </w:r>
          </w:p>
        </w:tc>
        <w:tc>
          <w:tcPr>
            <w:tcW w:w="2818" w:type="dxa"/>
            <w:tcBorders>
              <w:top w:val="nil"/>
              <w:left w:val="nil"/>
              <w:bottom w:val="nil"/>
              <w:right w:val="nil"/>
            </w:tcBorders>
            <w:shd w:val="clear" w:color="000000" w:fill="BEEDF8"/>
            <w:noWrap/>
            <w:vAlign w:val="center"/>
          </w:tcPr>
          <w:p>
            <w:pPr>
              <w:spacing w:line="320" w:lineRule="exact"/>
              <w:rPr>
                <w:rFonts w:hint="eastAsia" w:ascii="Calibri" w:hAnsi="Calibri"/>
                <w:color w:val="000000"/>
                <w:sz w:val="20"/>
                <w:szCs w:val="20"/>
              </w:rPr>
            </w:pPr>
            <w:r>
              <w:rPr>
                <w:rFonts w:hint="eastAsia" w:ascii="Calibri" w:hAnsi="Calibri"/>
                <w:color w:val="000000"/>
                <w:sz w:val="20"/>
                <w:szCs w:val="20"/>
              </w:rPr>
              <w:t>应用西班牙语</w:t>
            </w:r>
          </w:p>
        </w:tc>
        <w:tc>
          <w:tcPr>
            <w:tcW w:w="3254" w:type="dxa"/>
            <w:tcBorders>
              <w:top w:val="nil"/>
              <w:left w:val="nil"/>
              <w:bottom w:val="nil"/>
              <w:right w:val="nil"/>
            </w:tcBorders>
            <w:shd w:val="clear" w:color="000000" w:fill="BEEDF8"/>
            <w:noWrap/>
            <w:vAlign w:val="center"/>
          </w:tcPr>
          <w:p>
            <w:pPr>
              <w:spacing w:line="320" w:lineRule="exact"/>
              <w:rPr>
                <w:rFonts w:hint="eastAsia" w:ascii="Calibri" w:hAnsi="Calibri"/>
                <w:color w:val="000000"/>
                <w:sz w:val="20"/>
                <w:szCs w:val="20"/>
              </w:rPr>
            </w:pPr>
            <w:r>
              <w:rPr>
                <w:rFonts w:hint="eastAsia" w:ascii="Calibri" w:hAnsi="Calibri"/>
                <w:color w:val="000000"/>
                <w:sz w:val="20"/>
                <w:szCs w:val="20"/>
              </w:rPr>
              <w:t>电子商务专员</w:t>
            </w:r>
          </w:p>
        </w:tc>
      </w:tr>
      <w:tr>
        <w:tblPrEx>
          <w:tblCellMar>
            <w:top w:w="0" w:type="dxa"/>
            <w:left w:w="108" w:type="dxa"/>
            <w:bottom w:w="0" w:type="dxa"/>
            <w:right w:w="108" w:type="dxa"/>
          </w:tblCellMar>
        </w:tblPrEx>
        <w:trPr>
          <w:trHeight w:val="285" w:hRule="atLeast"/>
        </w:trPr>
        <w:tc>
          <w:tcPr>
            <w:tcW w:w="2818" w:type="dxa"/>
            <w:tcBorders>
              <w:top w:val="nil"/>
              <w:left w:val="nil"/>
              <w:bottom w:val="single" w:color="57B8E7" w:sz="12" w:space="0"/>
              <w:right w:val="nil"/>
            </w:tcBorders>
            <w:shd w:val="clear" w:color="000000" w:fill="FFFFFF"/>
            <w:noWrap/>
            <w:vAlign w:val="center"/>
          </w:tcPr>
          <w:p>
            <w:pPr>
              <w:spacing w:line="320" w:lineRule="exact"/>
              <w:rPr>
                <w:rFonts w:hint="eastAsia" w:ascii="Calibri" w:hAnsi="Calibri"/>
                <w:color w:val="000000"/>
                <w:sz w:val="20"/>
                <w:szCs w:val="20"/>
              </w:rPr>
            </w:pPr>
            <w:r>
              <w:rPr>
                <w:rFonts w:hint="eastAsia" w:ascii="Calibri" w:hAnsi="Calibri"/>
                <w:color w:val="000000"/>
                <w:sz w:val="20"/>
                <w:szCs w:val="20"/>
              </w:rPr>
              <w:t>英语系</w:t>
            </w:r>
          </w:p>
        </w:tc>
        <w:tc>
          <w:tcPr>
            <w:tcW w:w="2818" w:type="dxa"/>
            <w:tcBorders>
              <w:top w:val="nil"/>
              <w:left w:val="nil"/>
              <w:bottom w:val="single" w:color="57B8E7" w:sz="12" w:space="0"/>
              <w:right w:val="nil"/>
            </w:tcBorders>
            <w:shd w:val="clear" w:color="000000" w:fill="FFFFFF"/>
            <w:noWrap/>
            <w:vAlign w:val="center"/>
          </w:tcPr>
          <w:p>
            <w:pPr>
              <w:spacing w:line="320" w:lineRule="exact"/>
              <w:rPr>
                <w:rFonts w:hint="eastAsia" w:ascii="Calibri" w:hAnsi="Calibri"/>
                <w:color w:val="000000"/>
                <w:sz w:val="20"/>
                <w:szCs w:val="20"/>
              </w:rPr>
            </w:pPr>
            <w:r>
              <w:rPr>
                <w:rFonts w:hint="eastAsia" w:ascii="Calibri" w:hAnsi="Calibri"/>
                <w:color w:val="000000"/>
                <w:sz w:val="20"/>
                <w:szCs w:val="20"/>
              </w:rPr>
              <w:t>应用英语（少儿师资）</w:t>
            </w:r>
          </w:p>
        </w:tc>
        <w:tc>
          <w:tcPr>
            <w:tcW w:w="3254" w:type="dxa"/>
            <w:tcBorders>
              <w:top w:val="nil"/>
              <w:left w:val="nil"/>
              <w:bottom w:val="single" w:color="57B8E7" w:sz="12" w:space="0"/>
              <w:right w:val="nil"/>
            </w:tcBorders>
            <w:shd w:val="clear" w:color="000000" w:fill="FFFFFF"/>
            <w:noWrap/>
            <w:vAlign w:val="center"/>
          </w:tcPr>
          <w:p>
            <w:pPr>
              <w:spacing w:line="320" w:lineRule="exact"/>
              <w:rPr>
                <w:rFonts w:hint="eastAsia" w:ascii="Calibri" w:hAnsi="Calibri"/>
                <w:color w:val="000000"/>
                <w:sz w:val="20"/>
                <w:szCs w:val="20"/>
              </w:rPr>
            </w:pPr>
            <w:r>
              <w:rPr>
                <w:rFonts w:hint="eastAsia" w:ascii="Calibri" w:hAnsi="Calibri"/>
                <w:color w:val="000000"/>
                <w:sz w:val="20"/>
                <w:szCs w:val="20"/>
              </w:rPr>
              <w:t>小学教师</w:t>
            </w:r>
          </w:p>
        </w:tc>
      </w:tr>
    </w:tbl>
    <w:p>
      <w:pPr>
        <w:jc w:val="left"/>
        <w:rPr>
          <w:rFonts w:hint="eastAsia" w:asciiTheme="minorEastAsia" w:hAnsiTheme="minorEastAsia" w:eastAsiaTheme="minorEastAsia" w:cstheme="minorEastAsia"/>
          <w:color w:val="000000"/>
          <w:sz w:val="21"/>
          <w:szCs w:val="32"/>
        </w:rPr>
      </w:pPr>
      <w:r>
        <w:rPr>
          <w:rFonts w:hint="eastAsia" w:asciiTheme="minorEastAsia" w:hAnsiTheme="minorEastAsia" w:eastAsiaTheme="minorEastAsia" w:cstheme="minorEastAsia"/>
          <w:color w:val="000000"/>
          <w:sz w:val="21"/>
          <w:szCs w:val="32"/>
        </w:rPr>
        <w:t>注：个别专业因样本较少没有包括在内。</w:t>
      </w:r>
    </w:p>
    <w:p>
      <w:pPr>
        <w:jc w:val="left"/>
        <w:rPr>
          <w:rFonts w:hint="eastAsia" w:asciiTheme="minorEastAsia" w:hAnsiTheme="minorEastAsia" w:eastAsiaTheme="minorEastAsia" w:cstheme="minorEastAsia"/>
          <w:color w:val="000000"/>
          <w:sz w:val="21"/>
          <w:szCs w:val="32"/>
        </w:rPr>
      </w:pPr>
      <w:r>
        <w:rPr>
          <w:rFonts w:hint="eastAsia" w:asciiTheme="minorEastAsia" w:hAnsiTheme="minorEastAsia" w:eastAsiaTheme="minorEastAsia" w:cstheme="minorEastAsia"/>
          <w:color w:val="000000"/>
          <w:sz w:val="21"/>
          <w:szCs w:val="32"/>
        </w:rPr>
        <w:t>数据来源：麦可思-海南外国语职业学院2019届毕业生培养质量评价数据。</w:t>
      </w:r>
      <w:bookmarkEnd w:id="99"/>
    </w:p>
    <w:bookmarkEnd w:id="93"/>
    <w:p>
      <w:pPr>
        <w:pStyle w:val="4"/>
        <w:bidi w:val="0"/>
        <w:rPr>
          <w:rStyle w:val="16"/>
          <w:rFonts w:hint="eastAsia"/>
          <w:b/>
        </w:rPr>
      </w:pPr>
      <w:bookmarkStart w:id="100" w:name="pb_501"/>
      <w:bookmarkStart w:id="101" w:name="itb_153"/>
      <w:r>
        <w:br w:type="page"/>
      </w:r>
      <w:r>
        <w:rPr>
          <w:rStyle w:val="16"/>
          <w:rFonts w:hint="eastAsia"/>
          <w:b/>
          <w:lang w:val="en-US" w:eastAsia="zh-CN"/>
        </w:rPr>
        <w:t xml:space="preserve">  </w:t>
      </w:r>
      <w:bookmarkStart w:id="102" w:name="_Toc30274"/>
      <w:r>
        <w:rPr>
          <w:rStyle w:val="16"/>
          <w:rFonts w:hint="eastAsia"/>
          <w:b/>
        </w:rPr>
        <w:t>毕业生的行业流向</w:t>
      </w:r>
      <w:bookmarkEnd w:id="102"/>
    </w:p>
    <w:p>
      <w:pPr>
        <w:pStyle w:val="7"/>
        <w:bidi w:val="0"/>
        <w:rPr>
          <w:rFonts w:hint="eastAsia"/>
          <w:lang w:eastAsia="zh-CN"/>
        </w:rPr>
      </w:pPr>
      <w:bookmarkStart w:id="103" w:name="_Toc531614167"/>
      <w:r>
        <w:rPr>
          <w:rFonts w:hint="eastAsia"/>
          <w:lang w:val="en-US" w:eastAsia="zh-CN"/>
        </w:rPr>
        <w:t>本校2019届毕业生就业的主要行业类如下表所示。本校2019届毕业生就业量较大的行业类为住宿和餐饮业（20.6%）、零售业（15.8%）。</w:t>
      </w:r>
    </w:p>
    <w:p>
      <w:pPr>
        <w:pStyle w:val="8"/>
        <w:numPr>
          <w:ilvl w:val="0"/>
          <w:numId w:val="0"/>
        </w:numPr>
        <w:spacing w:line="360" w:lineRule="auto"/>
        <w:jc w:val="center"/>
        <w:rPr>
          <w:rFonts w:hint="eastAsia" w:asciiTheme="minorEastAsia" w:hAnsiTheme="minorEastAsia" w:eastAsiaTheme="minorEastAsia" w:cstheme="minorEastAsia"/>
          <w:b/>
          <w:bCs/>
          <w:kern w:val="2"/>
          <w:sz w:val="21"/>
          <w:szCs w:val="21"/>
          <w:lang w:val="en-US" w:eastAsia="zh-CN" w:bidi="ar-SA"/>
        </w:rPr>
      </w:pPr>
      <w:bookmarkStart w:id="104" w:name="_Toc23442231"/>
      <w:r>
        <w:rPr>
          <w:rFonts w:hint="eastAsia" w:asciiTheme="minorEastAsia" w:hAnsiTheme="minorEastAsia" w:eastAsiaTheme="minorEastAsia" w:cstheme="minorEastAsia"/>
          <w:b/>
          <w:bCs/>
          <w:kern w:val="2"/>
          <w:sz w:val="21"/>
          <w:szCs w:val="21"/>
          <w:lang w:val="en-US" w:eastAsia="zh-CN" w:bidi="ar-SA"/>
        </w:rPr>
        <w:t>表 1-9毕业生就业的主要行业</w:t>
      </w:r>
      <w:bookmarkEnd w:id="103"/>
      <w:r>
        <w:rPr>
          <w:rFonts w:hint="eastAsia" w:asciiTheme="minorEastAsia" w:hAnsiTheme="minorEastAsia" w:eastAsiaTheme="minorEastAsia" w:cstheme="minorEastAsia"/>
          <w:b/>
          <w:bCs/>
          <w:kern w:val="2"/>
          <w:sz w:val="21"/>
          <w:szCs w:val="21"/>
          <w:lang w:val="en-US" w:eastAsia="zh-CN" w:bidi="ar-SA"/>
        </w:rPr>
        <w:t>类</w:t>
      </w:r>
      <w:bookmarkEnd w:id="104"/>
    </w:p>
    <w:tbl>
      <w:tblPr>
        <w:tblStyle w:val="14"/>
        <w:tblW w:w="8890" w:type="dxa"/>
        <w:tblInd w:w="0" w:type="dxa"/>
        <w:tblLayout w:type="fixed"/>
        <w:tblCellMar>
          <w:top w:w="0" w:type="dxa"/>
          <w:left w:w="108" w:type="dxa"/>
          <w:bottom w:w="0" w:type="dxa"/>
          <w:right w:w="108" w:type="dxa"/>
        </w:tblCellMar>
      </w:tblPr>
      <w:tblGrid>
        <w:gridCol w:w="4445"/>
        <w:gridCol w:w="4445"/>
      </w:tblGrid>
      <w:tr>
        <w:tblPrEx>
          <w:tblCellMar>
            <w:top w:w="0" w:type="dxa"/>
            <w:left w:w="108" w:type="dxa"/>
            <w:bottom w:w="0" w:type="dxa"/>
            <w:right w:w="108" w:type="dxa"/>
          </w:tblCellMar>
        </w:tblPrEx>
        <w:trPr>
          <w:trHeight w:val="270" w:hRule="atLeast"/>
          <w:tblHeader/>
        </w:trPr>
        <w:tc>
          <w:tcPr>
            <w:tcW w:w="4445" w:type="dxa"/>
            <w:tcBorders>
              <w:top w:val="nil"/>
              <w:left w:val="nil"/>
              <w:bottom w:val="nil"/>
              <w:right w:val="single" w:color="FFFFFF" w:sz="12" w:space="0"/>
            </w:tcBorders>
            <w:shd w:val="clear" w:color="000000" w:fill="2350A0"/>
            <w:noWrap/>
            <w:vAlign w:val="center"/>
          </w:tcPr>
          <w:p>
            <w:pPr>
              <w:widowControl/>
              <w:spacing w:line="320" w:lineRule="exact"/>
              <w:jc w:val="center"/>
              <w:rPr>
                <w:rFonts w:ascii="Calibri" w:hAnsi="Calibri"/>
                <w:b/>
                <w:bCs/>
                <w:color w:val="FFFFFF"/>
                <w:kern w:val="0"/>
                <w:sz w:val="20"/>
                <w:szCs w:val="20"/>
              </w:rPr>
            </w:pPr>
            <w:r>
              <w:rPr>
                <w:rFonts w:hint="eastAsia" w:ascii="Calibri" w:hAnsi="Calibri"/>
                <w:b/>
                <w:bCs/>
                <w:color w:val="FFFFFF"/>
                <w:sz w:val="20"/>
                <w:szCs w:val="20"/>
              </w:rPr>
              <w:t>行业类名称</w:t>
            </w:r>
          </w:p>
        </w:tc>
        <w:tc>
          <w:tcPr>
            <w:tcW w:w="4445" w:type="dxa"/>
            <w:tcBorders>
              <w:top w:val="nil"/>
              <w:left w:val="nil"/>
              <w:bottom w:val="nil"/>
              <w:right w:val="single" w:color="FFFFFF" w:sz="12" w:space="0"/>
            </w:tcBorders>
            <w:shd w:val="clear" w:color="000000" w:fill="2350A0"/>
            <w:noWrap/>
            <w:vAlign w:val="center"/>
          </w:tcPr>
          <w:p>
            <w:pPr>
              <w:spacing w:line="320" w:lineRule="exact"/>
              <w:jc w:val="center"/>
              <w:rPr>
                <w:rFonts w:hint="eastAsia" w:ascii="Calibri" w:hAnsi="Calibri"/>
                <w:b/>
                <w:bCs/>
                <w:color w:val="FFFFFF"/>
                <w:sz w:val="20"/>
                <w:szCs w:val="20"/>
              </w:rPr>
            </w:pPr>
            <w:r>
              <w:rPr>
                <w:rFonts w:hint="eastAsia" w:ascii="Calibri" w:hAnsi="Calibri"/>
                <w:b/>
                <w:bCs/>
                <w:color w:val="FFFFFF"/>
                <w:sz w:val="20"/>
                <w:szCs w:val="20"/>
              </w:rPr>
              <w:t>占本校就业毕业生的人数百分比（%）</w:t>
            </w:r>
          </w:p>
        </w:tc>
      </w:tr>
      <w:tr>
        <w:tblPrEx>
          <w:tblCellMar>
            <w:top w:w="0" w:type="dxa"/>
            <w:left w:w="108" w:type="dxa"/>
            <w:bottom w:w="0" w:type="dxa"/>
            <w:right w:w="108" w:type="dxa"/>
          </w:tblCellMar>
        </w:tblPrEx>
        <w:trPr>
          <w:trHeight w:val="270" w:hRule="atLeast"/>
        </w:trPr>
        <w:tc>
          <w:tcPr>
            <w:tcW w:w="4445" w:type="dxa"/>
            <w:tcBorders>
              <w:top w:val="nil"/>
              <w:left w:val="nil"/>
              <w:bottom w:val="nil"/>
              <w:right w:val="nil"/>
            </w:tcBorders>
            <w:shd w:val="clear" w:color="000000" w:fill="FFFFFF"/>
            <w:noWrap/>
            <w:vAlign w:val="center"/>
          </w:tcPr>
          <w:p>
            <w:pPr>
              <w:spacing w:line="320" w:lineRule="exact"/>
              <w:jc w:val="left"/>
              <w:rPr>
                <w:rFonts w:hint="eastAsia" w:ascii="Calibri" w:hAnsi="Calibri"/>
                <w:color w:val="000000"/>
                <w:sz w:val="20"/>
                <w:szCs w:val="20"/>
              </w:rPr>
            </w:pPr>
            <w:r>
              <w:rPr>
                <w:rFonts w:hint="eastAsia" w:ascii="Calibri" w:hAnsi="Calibri"/>
                <w:color w:val="000000"/>
                <w:sz w:val="20"/>
                <w:szCs w:val="20"/>
              </w:rPr>
              <w:t>住宿和餐饮业</w:t>
            </w:r>
          </w:p>
        </w:tc>
        <w:tc>
          <w:tcPr>
            <w:tcW w:w="4445" w:type="dxa"/>
            <w:tcBorders>
              <w:top w:val="nil"/>
              <w:left w:val="nil"/>
              <w:bottom w:val="nil"/>
              <w:right w:val="nil"/>
            </w:tcBorders>
            <w:shd w:val="clear" w:color="000000" w:fill="FFFFFF"/>
            <w:noWrap/>
            <w:vAlign w:val="center"/>
          </w:tcPr>
          <w:p>
            <w:pPr>
              <w:spacing w:line="320" w:lineRule="exact"/>
              <w:jc w:val="center"/>
              <w:rPr>
                <w:rFonts w:hint="eastAsia" w:ascii="Calibri" w:hAnsi="Calibri"/>
                <w:color w:val="000000"/>
                <w:sz w:val="20"/>
                <w:szCs w:val="20"/>
              </w:rPr>
            </w:pPr>
            <w:r>
              <w:rPr>
                <w:rFonts w:hint="eastAsia" w:ascii="Calibri" w:hAnsi="Calibri"/>
                <w:color w:val="000000"/>
                <w:sz w:val="20"/>
                <w:szCs w:val="20"/>
              </w:rPr>
              <w:t>20.6</w:t>
            </w:r>
          </w:p>
        </w:tc>
      </w:tr>
      <w:tr>
        <w:tblPrEx>
          <w:tblCellMar>
            <w:top w:w="0" w:type="dxa"/>
            <w:left w:w="108" w:type="dxa"/>
            <w:bottom w:w="0" w:type="dxa"/>
            <w:right w:w="108" w:type="dxa"/>
          </w:tblCellMar>
        </w:tblPrEx>
        <w:trPr>
          <w:trHeight w:val="270" w:hRule="atLeast"/>
        </w:trPr>
        <w:tc>
          <w:tcPr>
            <w:tcW w:w="4445" w:type="dxa"/>
            <w:tcBorders>
              <w:top w:val="nil"/>
              <w:left w:val="nil"/>
              <w:bottom w:val="nil"/>
              <w:right w:val="nil"/>
            </w:tcBorders>
            <w:shd w:val="clear" w:color="000000" w:fill="BEEDF8"/>
            <w:noWrap/>
            <w:vAlign w:val="center"/>
          </w:tcPr>
          <w:p>
            <w:pPr>
              <w:spacing w:line="320" w:lineRule="exact"/>
              <w:jc w:val="left"/>
              <w:rPr>
                <w:rFonts w:hint="eastAsia" w:ascii="Calibri" w:hAnsi="Calibri"/>
                <w:color w:val="000000"/>
                <w:sz w:val="20"/>
                <w:szCs w:val="20"/>
              </w:rPr>
            </w:pPr>
            <w:r>
              <w:rPr>
                <w:rFonts w:hint="eastAsia" w:ascii="Calibri" w:hAnsi="Calibri"/>
                <w:color w:val="000000"/>
                <w:sz w:val="20"/>
                <w:szCs w:val="20"/>
              </w:rPr>
              <w:t>零售业</w:t>
            </w:r>
          </w:p>
        </w:tc>
        <w:tc>
          <w:tcPr>
            <w:tcW w:w="4445" w:type="dxa"/>
            <w:tcBorders>
              <w:top w:val="nil"/>
              <w:left w:val="nil"/>
              <w:bottom w:val="nil"/>
              <w:right w:val="nil"/>
            </w:tcBorders>
            <w:shd w:val="clear" w:color="000000" w:fill="BEEDF8"/>
            <w:noWrap/>
            <w:vAlign w:val="center"/>
          </w:tcPr>
          <w:p>
            <w:pPr>
              <w:spacing w:line="320" w:lineRule="exact"/>
              <w:jc w:val="center"/>
              <w:rPr>
                <w:rFonts w:hint="eastAsia" w:ascii="Calibri" w:hAnsi="Calibri"/>
                <w:color w:val="000000"/>
                <w:sz w:val="20"/>
                <w:szCs w:val="20"/>
              </w:rPr>
            </w:pPr>
            <w:r>
              <w:rPr>
                <w:rFonts w:hint="eastAsia" w:ascii="Calibri" w:hAnsi="Calibri"/>
                <w:color w:val="000000"/>
                <w:sz w:val="20"/>
                <w:szCs w:val="20"/>
              </w:rPr>
              <w:t>15.8</w:t>
            </w:r>
          </w:p>
        </w:tc>
      </w:tr>
      <w:tr>
        <w:tblPrEx>
          <w:tblCellMar>
            <w:top w:w="0" w:type="dxa"/>
            <w:left w:w="108" w:type="dxa"/>
            <w:bottom w:w="0" w:type="dxa"/>
            <w:right w:w="108" w:type="dxa"/>
          </w:tblCellMar>
        </w:tblPrEx>
        <w:trPr>
          <w:trHeight w:val="270" w:hRule="atLeast"/>
        </w:trPr>
        <w:tc>
          <w:tcPr>
            <w:tcW w:w="4445" w:type="dxa"/>
            <w:tcBorders>
              <w:top w:val="nil"/>
              <w:left w:val="nil"/>
              <w:bottom w:val="nil"/>
              <w:right w:val="nil"/>
            </w:tcBorders>
            <w:shd w:val="clear" w:color="000000" w:fill="FFFFFF"/>
            <w:noWrap/>
            <w:vAlign w:val="center"/>
          </w:tcPr>
          <w:p>
            <w:pPr>
              <w:spacing w:line="320" w:lineRule="exact"/>
              <w:jc w:val="left"/>
              <w:rPr>
                <w:rFonts w:hint="eastAsia" w:ascii="Calibri" w:hAnsi="Calibri"/>
                <w:color w:val="000000"/>
                <w:sz w:val="20"/>
                <w:szCs w:val="20"/>
              </w:rPr>
            </w:pPr>
            <w:r>
              <w:rPr>
                <w:rFonts w:hint="eastAsia" w:ascii="Calibri" w:hAnsi="Calibri"/>
                <w:color w:val="000000"/>
                <w:sz w:val="20"/>
                <w:szCs w:val="20"/>
              </w:rPr>
              <w:t>教育业</w:t>
            </w:r>
          </w:p>
        </w:tc>
        <w:tc>
          <w:tcPr>
            <w:tcW w:w="4445" w:type="dxa"/>
            <w:tcBorders>
              <w:top w:val="nil"/>
              <w:left w:val="nil"/>
              <w:bottom w:val="nil"/>
              <w:right w:val="nil"/>
            </w:tcBorders>
            <w:shd w:val="clear" w:color="000000" w:fill="FFFFFF"/>
            <w:noWrap/>
            <w:vAlign w:val="center"/>
          </w:tcPr>
          <w:p>
            <w:pPr>
              <w:spacing w:line="320" w:lineRule="exact"/>
              <w:jc w:val="center"/>
              <w:rPr>
                <w:rFonts w:hint="eastAsia" w:ascii="Calibri" w:hAnsi="Calibri"/>
                <w:color w:val="000000"/>
                <w:sz w:val="20"/>
                <w:szCs w:val="20"/>
              </w:rPr>
            </w:pPr>
            <w:r>
              <w:rPr>
                <w:rFonts w:hint="eastAsia" w:ascii="Calibri" w:hAnsi="Calibri"/>
                <w:color w:val="000000"/>
                <w:sz w:val="20"/>
                <w:szCs w:val="20"/>
              </w:rPr>
              <w:t>7.2</w:t>
            </w:r>
          </w:p>
        </w:tc>
      </w:tr>
      <w:tr>
        <w:tblPrEx>
          <w:tblCellMar>
            <w:top w:w="0" w:type="dxa"/>
            <w:left w:w="108" w:type="dxa"/>
            <w:bottom w:w="0" w:type="dxa"/>
            <w:right w:w="108" w:type="dxa"/>
          </w:tblCellMar>
        </w:tblPrEx>
        <w:trPr>
          <w:trHeight w:val="270" w:hRule="atLeast"/>
        </w:trPr>
        <w:tc>
          <w:tcPr>
            <w:tcW w:w="4445" w:type="dxa"/>
            <w:tcBorders>
              <w:top w:val="nil"/>
              <w:left w:val="nil"/>
              <w:bottom w:val="nil"/>
              <w:right w:val="nil"/>
            </w:tcBorders>
            <w:shd w:val="clear" w:color="000000" w:fill="BEEDF8"/>
            <w:noWrap/>
            <w:vAlign w:val="center"/>
          </w:tcPr>
          <w:p>
            <w:pPr>
              <w:spacing w:line="320" w:lineRule="exact"/>
              <w:jc w:val="left"/>
              <w:rPr>
                <w:rFonts w:hint="eastAsia" w:ascii="Calibri" w:hAnsi="Calibri"/>
                <w:color w:val="000000"/>
                <w:sz w:val="20"/>
                <w:szCs w:val="20"/>
              </w:rPr>
            </w:pPr>
            <w:r>
              <w:rPr>
                <w:rFonts w:hint="eastAsia" w:ascii="Calibri" w:hAnsi="Calibri"/>
                <w:color w:val="000000"/>
                <w:sz w:val="20"/>
                <w:szCs w:val="20"/>
              </w:rPr>
              <w:t>信息传输、软件和信息技术服务业</w:t>
            </w:r>
          </w:p>
        </w:tc>
        <w:tc>
          <w:tcPr>
            <w:tcW w:w="4445" w:type="dxa"/>
            <w:tcBorders>
              <w:top w:val="nil"/>
              <w:left w:val="nil"/>
              <w:bottom w:val="nil"/>
              <w:right w:val="nil"/>
            </w:tcBorders>
            <w:shd w:val="clear" w:color="000000" w:fill="BEEDF8"/>
            <w:noWrap/>
            <w:vAlign w:val="center"/>
          </w:tcPr>
          <w:p>
            <w:pPr>
              <w:spacing w:line="320" w:lineRule="exact"/>
              <w:jc w:val="center"/>
              <w:rPr>
                <w:rFonts w:hint="eastAsia" w:ascii="Calibri" w:hAnsi="Calibri"/>
                <w:color w:val="000000"/>
                <w:sz w:val="20"/>
                <w:szCs w:val="20"/>
              </w:rPr>
            </w:pPr>
            <w:r>
              <w:rPr>
                <w:rFonts w:hint="eastAsia" w:ascii="Calibri" w:hAnsi="Calibri"/>
                <w:color w:val="000000"/>
                <w:sz w:val="20"/>
                <w:szCs w:val="20"/>
              </w:rPr>
              <w:t>6.4</w:t>
            </w:r>
          </w:p>
        </w:tc>
      </w:tr>
      <w:tr>
        <w:tblPrEx>
          <w:tblCellMar>
            <w:top w:w="0" w:type="dxa"/>
            <w:left w:w="108" w:type="dxa"/>
            <w:bottom w:w="0" w:type="dxa"/>
            <w:right w:w="108" w:type="dxa"/>
          </w:tblCellMar>
        </w:tblPrEx>
        <w:trPr>
          <w:trHeight w:val="285" w:hRule="atLeast"/>
        </w:trPr>
        <w:tc>
          <w:tcPr>
            <w:tcW w:w="4445" w:type="dxa"/>
            <w:tcBorders>
              <w:top w:val="nil"/>
              <w:left w:val="nil"/>
              <w:bottom w:val="single" w:color="57B8E7" w:sz="12" w:space="0"/>
              <w:right w:val="nil"/>
            </w:tcBorders>
            <w:shd w:val="clear" w:color="000000" w:fill="FFFFFF"/>
            <w:noWrap/>
            <w:vAlign w:val="center"/>
          </w:tcPr>
          <w:p>
            <w:pPr>
              <w:spacing w:line="320" w:lineRule="exact"/>
              <w:jc w:val="left"/>
              <w:rPr>
                <w:rFonts w:hint="eastAsia" w:ascii="Calibri" w:hAnsi="Calibri"/>
                <w:color w:val="000000"/>
                <w:sz w:val="20"/>
                <w:szCs w:val="20"/>
              </w:rPr>
            </w:pPr>
            <w:r>
              <w:rPr>
                <w:rFonts w:hint="eastAsia" w:ascii="Calibri" w:hAnsi="Calibri"/>
                <w:color w:val="000000"/>
                <w:sz w:val="20"/>
                <w:szCs w:val="20"/>
              </w:rPr>
              <w:t>其他服务业（除行政服务）</w:t>
            </w:r>
          </w:p>
        </w:tc>
        <w:tc>
          <w:tcPr>
            <w:tcW w:w="4445" w:type="dxa"/>
            <w:tcBorders>
              <w:top w:val="nil"/>
              <w:left w:val="nil"/>
              <w:bottom w:val="single" w:color="57B8E7" w:sz="12" w:space="0"/>
              <w:right w:val="nil"/>
            </w:tcBorders>
            <w:shd w:val="clear" w:color="000000" w:fill="FFFFFF"/>
            <w:noWrap/>
            <w:vAlign w:val="center"/>
          </w:tcPr>
          <w:p>
            <w:pPr>
              <w:spacing w:line="320" w:lineRule="exact"/>
              <w:jc w:val="center"/>
              <w:rPr>
                <w:rFonts w:hint="eastAsia" w:ascii="Calibri" w:hAnsi="Calibri"/>
                <w:color w:val="000000"/>
                <w:sz w:val="20"/>
                <w:szCs w:val="20"/>
              </w:rPr>
            </w:pPr>
            <w:r>
              <w:rPr>
                <w:rFonts w:hint="eastAsia" w:ascii="Calibri" w:hAnsi="Calibri"/>
                <w:color w:val="000000"/>
                <w:sz w:val="20"/>
                <w:szCs w:val="20"/>
              </w:rPr>
              <w:t>5.3</w:t>
            </w:r>
          </w:p>
        </w:tc>
      </w:tr>
    </w:tbl>
    <w:p>
      <w:pPr>
        <w:jc w:val="left"/>
        <w:rPr>
          <w:rFonts w:hint="eastAsia" w:asciiTheme="minorEastAsia" w:hAnsiTheme="minorEastAsia" w:eastAsiaTheme="minorEastAsia" w:cstheme="minorEastAsia"/>
          <w:color w:val="000000"/>
          <w:sz w:val="21"/>
          <w:szCs w:val="32"/>
        </w:rPr>
      </w:pPr>
      <w:r>
        <w:rPr>
          <w:rFonts w:hint="eastAsia" w:asciiTheme="minorEastAsia" w:hAnsiTheme="minorEastAsia" w:eastAsiaTheme="minorEastAsia" w:cstheme="minorEastAsia"/>
          <w:color w:val="000000"/>
          <w:sz w:val="21"/>
          <w:szCs w:val="32"/>
        </w:rPr>
        <w:t>数据来源：麦可思-海南外国语职业学院2019届毕业生培养质量评价数据。</w:t>
      </w:r>
    </w:p>
    <w:p>
      <w:pPr>
        <w:rPr>
          <w:rFonts w:ascii="Calibri" w:hAnsi="Calibri"/>
        </w:rPr>
      </w:pPr>
    </w:p>
    <w:bookmarkEnd w:id="100"/>
    <w:bookmarkEnd w:id="101"/>
    <w:p>
      <w:pPr>
        <w:pStyle w:val="4"/>
        <w:bidi w:val="0"/>
      </w:pPr>
      <w:bookmarkStart w:id="105" w:name="_Toc8732"/>
      <w:bookmarkStart w:id="106" w:name="itb_156"/>
      <w:bookmarkStart w:id="107" w:name="pb_15"/>
      <w:r>
        <w:rPr>
          <w:rFonts w:hint="eastAsia"/>
        </w:rPr>
        <w:t>各院系及专业毕业生的行业流向</w:t>
      </w:r>
      <w:bookmarkEnd w:id="105"/>
    </w:p>
    <w:p>
      <w:pPr>
        <w:pStyle w:val="8"/>
        <w:numPr>
          <w:ilvl w:val="0"/>
          <w:numId w:val="0"/>
        </w:numPr>
        <w:spacing w:line="360" w:lineRule="auto"/>
        <w:jc w:val="center"/>
        <w:rPr>
          <w:rFonts w:hint="eastAsia" w:asciiTheme="minorEastAsia" w:hAnsiTheme="minorEastAsia" w:eastAsiaTheme="minorEastAsia" w:cstheme="minorEastAsia"/>
          <w:b/>
          <w:bCs/>
          <w:kern w:val="2"/>
          <w:sz w:val="21"/>
          <w:szCs w:val="21"/>
          <w:lang w:val="en-US" w:eastAsia="zh-CN" w:bidi="ar-SA"/>
        </w:rPr>
      </w:pPr>
      <w:bookmarkStart w:id="108" w:name="_Toc531614171"/>
      <w:bookmarkStart w:id="109" w:name="_Toc23442232"/>
      <w:r>
        <w:rPr>
          <w:rFonts w:hint="eastAsia" w:asciiTheme="minorEastAsia" w:hAnsiTheme="minorEastAsia" w:eastAsiaTheme="minorEastAsia" w:cstheme="minorEastAsia"/>
          <w:b/>
          <w:bCs/>
          <w:kern w:val="2"/>
          <w:sz w:val="21"/>
          <w:szCs w:val="21"/>
          <w:lang w:val="en-US" w:eastAsia="zh-CN" w:bidi="ar-SA"/>
        </w:rPr>
        <w:t>表 1-10各院系毕业生实际就业的主要行业</w:t>
      </w:r>
      <w:bookmarkEnd w:id="108"/>
      <w:bookmarkEnd w:id="109"/>
    </w:p>
    <w:tbl>
      <w:tblPr>
        <w:tblStyle w:val="14"/>
        <w:tblW w:w="8890" w:type="dxa"/>
        <w:tblInd w:w="0" w:type="dxa"/>
        <w:tblLayout w:type="fixed"/>
        <w:tblCellMar>
          <w:top w:w="0" w:type="dxa"/>
          <w:left w:w="108" w:type="dxa"/>
          <w:bottom w:w="0" w:type="dxa"/>
          <w:right w:w="108" w:type="dxa"/>
        </w:tblCellMar>
      </w:tblPr>
      <w:tblGrid>
        <w:gridCol w:w="4445"/>
        <w:gridCol w:w="4445"/>
      </w:tblGrid>
      <w:tr>
        <w:tblPrEx>
          <w:tblCellMar>
            <w:top w:w="0" w:type="dxa"/>
            <w:left w:w="108" w:type="dxa"/>
            <w:bottom w:w="0" w:type="dxa"/>
            <w:right w:w="108" w:type="dxa"/>
          </w:tblCellMar>
        </w:tblPrEx>
        <w:trPr>
          <w:trHeight w:val="270" w:hRule="atLeast"/>
          <w:tblHeader/>
        </w:trPr>
        <w:tc>
          <w:tcPr>
            <w:tcW w:w="4445" w:type="dxa"/>
            <w:tcBorders>
              <w:top w:val="nil"/>
              <w:left w:val="nil"/>
              <w:bottom w:val="nil"/>
              <w:right w:val="single" w:color="FFFFFF" w:sz="12" w:space="0"/>
            </w:tcBorders>
            <w:shd w:val="clear" w:color="000000" w:fill="2350A0"/>
            <w:noWrap/>
            <w:vAlign w:val="center"/>
          </w:tcPr>
          <w:p>
            <w:pPr>
              <w:widowControl/>
              <w:spacing w:line="320" w:lineRule="exact"/>
              <w:jc w:val="center"/>
              <w:rPr>
                <w:rFonts w:ascii="Calibri" w:hAnsi="Calibri"/>
                <w:b/>
                <w:bCs/>
                <w:color w:val="FFFFFF"/>
                <w:kern w:val="0"/>
                <w:sz w:val="20"/>
                <w:szCs w:val="20"/>
              </w:rPr>
            </w:pPr>
            <w:r>
              <w:rPr>
                <w:rFonts w:hint="eastAsia" w:ascii="Calibri" w:hAnsi="Calibri"/>
                <w:b/>
                <w:bCs/>
                <w:color w:val="FFFFFF"/>
                <w:sz w:val="20"/>
                <w:szCs w:val="20"/>
              </w:rPr>
              <w:t>院系名称</w:t>
            </w:r>
          </w:p>
        </w:tc>
        <w:tc>
          <w:tcPr>
            <w:tcW w:w="4445" w:type="dxa"/>
            <w:tcBorders>
              <w:top w:val="nil"/>
              <w:left w:val="nil"/>
              <w:bottom w:val="nil"/>
              <w:right w:val="single" w:color="FFFFFF" w:sz="12" w:space="0"/>
            </w:tcBorders>
            <w:shd w:val="clear" w:color="000000" w:fill="2350A0"/>
            <w:noWrap/>
            <w:vAlign w:val="center"/>
          </w:tcPr>
          <w:p>
            <w:pPr>
              <w:spacing w:line="320" w:lineRule="exact"/>
              <w:jc w:val="center"/>
              <w:rPr>
                <w:rFonts w:hint="eastAsia" w:ascii="Calibri" w:hAnsi="Calibri"/>
                <w:b/>
                <w:bCs/>
                <w:color w:val="FFFFFF"/>
                <w:sz w:val="20"/>
                <w:szCs w:val="20"/>
              </w:rPr>
            </w:pPr>
            <w:r>
              <w:rPr>
                <w:rFonts w:hint="eastAsia" w:ascii="Calibri" w:hAnsi="Calibri"/>
                <w:b/>
                <w:bCs/>
                <w:color w:val="FFFFFF"/>
                <w:sz w:val="20"/>
                <w:szCs w:val="20"/>
              </w:rPr>
              <w:t>本校该院系毕业生就业的主要行业</w:t>
            </w:r>
          </w:p>
        </w:tc>
      </w:tr>
      <w:tr>
        <w:tblPrEx>
          <w:tblCellMar>
            <w:top w:w="0" w:type="dxa"/>
            <w:left w:w="108" w:type="dxa"/>
            <w:bottom w:w="0" w:type="dxa"/>
            <w:right w:w="108" w:type="dxa"/>
          </w:tblCellMar>
        </w:tblPrEx>
        <w:trPr>
          <w:trHeight w:val="270" w:hRule="atLeast"/>
        </w:trPr>
        <w:tc>
          <w:tcPr>
            <w:tcW w:w="4445" w:type="dxa"/>
            <w:tcBorders>
              <w:top w:val="nil"/>
              <w:left w:val="nil"/>
              <w:bottom w:val="nil"/>
              <w:right w:val="nil"/>
            </w:tcBorders>
            <w:shd w:val="clear" w:color="000000" w:fill="FFFFFF"/>
            <w:noWrap/>
            <w:vAlign w:val="center"/>
          </w:tcPr>
          <w:p>
            <w:pPr>
              <w:spacing w:line="320" w:lineRule="exact"/>
              <w:jc w:val="left"/>
              <w:rPr>
                <w:rFonts w:hint="eastAsia" w:ascii="Calibri" w:hAnsi="Calibri"/>
                <w:color w:val="000000"/>
                <w:sz w:val="20"/>
                <w:szCs w:val="20"/>
              </w:rPr>
            </w:pPr>
            <w:r>
              <w:rPr>
                <w:rFonts w:hint="eastAsia" w:ascii="Calibri" w:hAnsi="Calibri"/>
                <w:color w:val="000000"/>
                <w:sz w:val="20"/>
                <w:szCs w:val="20"/>
              </w:rPr>
              <w:t>国际商务系</w:t>
            </w:r>
          </w:p>
        </w:tc>
        <w:tc>
          <w:tcPr>
            <w:tcW w:w="4445" w:type="dxa"/>
            <w:tcBorders>
              <w:top w:val="nil"/>
              <w:left w:val="nil"/>
              <w:bottom w:val="nil"/>
              <w:right w:val="nil"/>
            </w:tcBorders>
            <w:shd w:val="clear" w:color="000000" w:fill="FFFFFF"/>
            <w:noWrap/>
            <w:vAlign w:val="center"/>
          </w:tcPr>
          <w:p>
            <w:pPr>
              <w:spacing w:line="320" w:lineRule="exact"/>
              <w:rPr>
                <w:rFonts w:hint="eastAsia" w:ascii="Calibri" w:hAnsi="Calibri"/>
                <w:color w:val="000000"/>
                <w:sz w:val="20"/>
                <w:szCs w:val="20"/>
              </w:rPr>
            </w:pPr>
            <w:r>
              <w:rPr>
                <w:rFonts w:hint="eastAsia" w:ascii="Calibri" w:hAnsi="Calibri"/>
                <w:color w:val="000000"/>
                <w:sz w:val="20"/>
                <w:szCs w:val="20"/>
              </w:rPr>
              <w:t>旅客住宿业；综合性餐饮业；物流仓储业</w:t>
            </w:r>
          </w:p>
        </w:tc>
      </w:tr>
      <w:tr>
        <w:tblPrEx>
          <w:tblCellMar>
            <w:top w:w="0" w:type="dxa"/>
            <w:left w:w="108" w:type="dxa"/>
            <w:bottom w:w="0" w:type="dxa"/>
            <w:right w:w="108" w:type="dxa"/>
          </w:tblCellMar>
        </w:tblPrEx>
        <w:trPr>
          <w:trHeight w:val="270" w:hRule="atLeast"/>
        </w:trPr>
        <w:tc>
          <w:tcPr>
            <w:tcW w:w="4445" w:type="dxa"/>
            <w:tcBorders>
              <w:top w:val="nil"/>
              <w:left w:val="nil"/>
              <w:bottom w:val="nil"/>
              <w:right w:val="nil"/>
            </w:tcBorders>
            <w:shd w:val="clear" w:color="000000" w:fill="BEEDF8"/>
            <w:noWrap/>
            <w:vAlign w:val="center"/>
          </w:tcPr>
          <w:p>
            <w:pPr>
              <w:spacing w:line="320" w:lineRule="exact"/>
              <w:rPr>
                <w:rFonts w:hint="eastAsia" w:ascii="Calibri" w:hAnsi="Calibri"/>
                <w:color w:val="000000"/>
                <w:sz w:val="20"/>
                <w:szCs w:val="20"/>
              </w:rPr>
            </w:pPr>
            <w:r>
              <w:rPr>
                <w:rFonts w:hint="eastAsia" w:ascii="Calibri" w:hAnsi="Calibri"/>
                <w:color w:val="000000"/>
                <w:sz w:val="20"/>
                <w:szCs w:val="20"/>
              </w:rPr>
              <w:t>旅游系</w:t>
            </w:r>
          </w:p>
        </w:tc>
        <w:tc>
          <w:tcPr>
            <w:tcW w:w="4445" w:type="dxa"/>
            <w:tcBorders>
              <w:top w:val="nil"/>
              <w:left w:val="nil"/>
              <w:bottom w:val="nil"/>
              <w:right w:val="nil"/>
            </w:tcBorders>
            <w:shd w:val="clear" w:color="000000" w:fill="BEEDF8"/>
            <w:noWrap/>
            <w:vAlign w:val="center"/>
          </w:tcPr>
          <w:p>
            <w:pPr>
              <w:spacing w:line="320" w:lineRule="exact"/>
              <w:rPr>
                <w:rFonts w:hint="eastAsia" w:ascii="Calibri" w:hAnsi="Calibri"/>
                <w:color w:val="000000"/>
                <w:sz w:val="20"/>
                <w:szCs w:val="20"/>
              </w:rPr>
            </w:pPr>
            <w:r>
              <w:rPr>
                <w:rFonts w:hint="eastAsia" w:ascii="Calibri" w:hAnsi="Calibri"/>
                <w:color w:val="000000"/>
                <w:sz w:val="20"/>
                <w:szCs w:val="20"/>
              </w:rPr>
              <w:t>综合性餐饮业；旅客住宿业；</w:t>
            </w:r>
          </w:p>
        </w:tc>
      </w:tr>
      <w:tr>
        <w:tblPrEx>
          <w:tblCellMar>
            <w:top w:w="0" w:type="dxa"/>
            <w:left w:w="108" w:type="dxa"/>
            <w:bottom w:w="0" w:type="dxa"/>
            <w:right w:w="108" w:type="dxa"/>
          </w:tblCellMar>
        </w:tblPrEx>
        <w:trPr>
          <w:trHeight w:val="270" w:hRule="atLeast"/>
        </w:trPr>
        <w:tc>
          <w:tcPr>
            <w:tcW w:w="4445" w:type="dxa"/>
            <w:tcBorders>
              <w:top w:val="nil"/>
              <w:left w:val="nil"/>
              <w:bottom w:val="nil"/>
              <w:right w:val="nil"/>
            </w:tcBorders>
            <w:shd w:val="clear" w:color="000000" w:fill="FFFFFF"/>
            <w:noWrap/>
            <w:vAlign w:val="center"/>
          </w:tcPr>
          <w:p>
            <w:pPr>
              <w:spacing w:line="320" w:lineRule="exact"/>
              <w:rPr>
                <w:rFonts w:hint="eastAsia" w:ascii="Calibri" w:hAnsi="Calibri"/>
                <w:color w:val="000000"/>
                <w:sz w:val="20"/>
                <w:szCs w:val="20"/>
              </w:rPr>
            </w:pPr>
            <w:r>
              <w:rPr>
                <w:rFonts w:hint="eastAsia" w:ascii="Calibri" w:hAnsi="Calibri"/>
                <w:color w:val="000000"/>
                <w:sz w:val="20"/>
                <w:szCs w:val="20"/>
              </w:rPr>
              <w:t>西语系</w:t>
            </w:r>
          </w:p>
        </w:tc>
        <w:tc>
          <w:tcPr>
            <w:tcW w:w="4445" w:type="dxa"/>
            <w:tcBorders>
              <w:top w:val="nil"/>
              <w:left w:val="nil"/>
              <w:bottom w:val="nil"/>
              <w:right w:val="nil"/>
            </w:tcBorders>
            <w:shd w:val="clear" w:color="000000" w:fill="FFFFFF"/>
            <w:noWrap/>
            <w:vAlign w:val="center"/>
          </w:tcPr>
          <w:p>
            <w:pPr>
              <w:spacing w:line="320" w:lineRule="exact"/>
              <w:rPr>
                <w:rFonts w:hint="eastAsia" w:ascii="Calibri" w:hAnsi="Calibri"/>
                <w:color w:val="000000"/>
                <w:sz w:val="20"/>
                <w:szCs w:val="20"/>
              </w:rPr>
            </w:pPr>
            <w:r>
              <w:rPr>
                <w:rFonts w:hint="eastAsia" w:ascii="Calibri" w:hAnsi="Calibri"/>
                <w:color w:val="000000"/>
                <w:sz w:val="20"/>
                <w:szCs w:val="20"/>
              </w:rPr>
              <w:t>互联网运营与网络搜索引擎业；</w:t>
            </w:r>
          </w:p>
        </w:tc>
      </w:tr>
      <w:tr>
        <w:tblPrEx>
          <w:tblCellMar>
            <w:top w:w="0" w:type="dxa"/>
            <w:left w:w="108" w:type="dxa"/>
            <w:bottom w:w="0" w:type="dxa"/>
            <w:right w:w="108" w:type="dxa"/>
          </w:tblCellMar>
        </w:tblPrEx>
        <w:trPr>
          <w:trHeight w:val="285" w:hRule="atLeast"/>
        </w:trPr>
        <w:tc>
          <w:tcPr>
            <w:tcW w:w="4445" w:type="dxa"/>
            <w:tcBorders>
              <w:top w:val="nil"/>
              <w:left w:val="nil"/>
              <w:bottom w:val="single" w:color="57B8E7" w:sz="12" w:space="0"/>
              <w:right w:val="nil"/>
            </w:tcBorders>
            <w:shd w:val="clear" w:color="000000" w:fill="BEEDF8"/>
            <w:noWrap/>
            <w:vAlign w:val="center"/>
          </w:tcPr>
          <w:p>
            <w:pPr>
              <w:spacing w:line="320" w:lineRule="exact"/>
              <w:rPr>
                <w:rFonts w:hint="eastAsia" w:ascii="Calibri" w:hAnsi="Calibri"/>
                <w:color w:val="000000"/>
                <w:sz w:val="20"/>
                <w:szCs w:val="20"/>
              </w:rPr>
            </w:pPr>
            <w:r>
              <w:rPr>
                <w:rFonts w:hint="eastAsia" w:ascii="Calibri" w:hAnsi="Calibri"/>
                <w:color w:val="000000"/>
                <w:sz w:val="20"/>
                <w:szCs w:val="20"/>
              </w:rPr>
              <w:t>英语系</w:t>
            </w:r>
          </w:p>
        </w:tc>
        <w:tc>
          <w:tcPr>
            <w:tcW w:w="4445" w:type="dxa"/>
            <w:tcBorders>
              <w:top w:val="nil"/>
              <w:left w:val="nil"/>
              <w:bottom w:val="single" w:color="57B8E7" w:sz="12" w:space="0"/>
              <w:right w:val="nil"/>
            </w:tcBorders>
            <w:shd w:val="clear" w:color="000000" w:fill="BEEDF8"/>
            <w:noWrap/>
            <w:vAlign w:val="center"/>
          </w:tcPr>
          <w:p>
            <w:pPr>
              <w:spacing w:line="320" w:lineRule="exact"/>
              <w:rPr>
                <w:rFonts w:hint="eastAsia" w:ascii="Calibri" w:hAnsi="Calibri"/>
                <w:color w:val="000000"/>
                <w:sz w:val="20"/>
                <w:szCs w:val="20"/>
              </w:rPr>
            </w:pPr>
            <w:r>
              <w:rPr>
                <w:rFonts w:hint="eastAsia" w:ascii="Calibri" w:hAnsi="Calibri"/>
                <w:color w:val="000000"/>
                <w:sz w:val="20"/>
                <w:szCs w:val="20"/>
              </w:rPr>
              <w:t>中小学教育机构；幼儿园与学前教育机构</w:t>
            </w:r>
          </w:p>
        </w:tc>
      </w:tr>
    </w:tbl>
    <w:p>
      <w:pPr>
        <w:jc w:val="left"/>
        <w:rPr>
          <w:rFonts w:hint="eastAsia" w:asciiTheme="minorEastAsia" w:hAnsiTheme="minorEastAsia" w:eastAsiaTheme="minorEastAsia" w:cstheme="minorEastAsia"/>
          <w:color w:val="000000"/>
          <w:sz w:val="21"/>
          <w:szCs w:val="32"/>
        </w:rPr>
      </w:pPr>
      <w:r>
        <w:rPr>
          <w:rFonts w:hint="eastAsia" w:asciiTheme="minorEastAsia" w:hAnsiTheme="minorEastAsia" w:eastAsiaTheme="minorEastAsia" w:cstheme="minorEastAsia"/>
          <w:color w:val="000000"/>
          <w:sz w:val="21"/>
          <w:szCs w:val="32"/>
        </w:rPr>
        <w:t>注：个别院系因样本较少没有包括在内。</w:t>
      </w:r>
    </w:p>
    <w:p>
      <w:pPr>
        <w:jc w:val="left"/>
        <w:rPr>
          <w:rFonts w:hint="eastAsia" w:asciiTheme="minorEastAsia" w:hAnsiTheme="minorEastAsia" w:eastAsiaTheme="minorEastAsia" w:cstheme="minorEastAsia"/>
          <w:color w:val="000000"/>
          <w:sz w:val="21"/>
          <w:szCs w:val="32"/>
        </w:rPr>
      </w:pPr>
      <w:r>
        <w:rPr>
          <w:rFonts w:hint="eastAsia" w:asciiTheme="minorEastAsia" w:hAnsiTheme="minorEastAsia" w:eastAsiaTheme="minorEastAsia" w:cstheme="minorEastAsia"/>
          <w:color w:val="000000"/>
          <w:sz w:val="21"/>
          <w:szCs w:val="32"/>
        </w:rPr>
        <w:t>数据来源：麦可思-海南外国语职业学院2019届毕业生培养质量评价数据。</w:t>
      </w:r>
    </w:p>
    <w:bookmarkEnd w:id="106"/>
    <w:p>
      <w:pPr>
        <w:rPr>
          <w:rFonts w:hint="eastAsia" w:ascii="Calibri" w:hAnsi="Calibri"/>
        </w:rPr>
      </w:pPr>
    </w:p>
    <w:p>
      <w:pPr>
        <w:pStyle w:val="8"/>
        <w:numPr>
          <w:ilvl w:val="0"/>
          <w:numId w:val="0"/>
        </w:numPr>
        <w:spacing w:line="360" w:lineRule="auto"/>
        <w:jc w:val="center"/>
        <w:rPr>
          <w:rFonts w:eastAsia="宋体" w:cs="宋体"/>
        </w:rPr>
      </w:pPr>
      <w:bookmarkStart w:id="110" w:name="_Toc23442233"/>
      <w:bookmarkStart w:id="111" w:name="itb_8004"/>
      <w:r>
        <w:rPr>
          <w:rFonts w:hint="eastAsia" w:asciiTheme="minorEastAsia" w:hAnsiTheme="minorEastAsia" w:eastAsiaTheme="minorEastAsia" w:cstheme="minorEastAsia"/>
          <w:b/>
          <w:bCs/>
          <w:kern w:val="2"/>
          <w:sz w:val="21"/>
          <w:szCs w:val="21"/>
          <w:lang w:val="en-US" w:eastAsia="zh-CN" w:bidi="ar-SA"/>
        </w:rPr>
        <w:t>表 1-11各专业毕业生实际就业的主要行业</w:t>
      </w:r>
      <w:bookmarkEnd w:id="110"/>
    </w:p>
    <w:tbl>
      <w:tblPr>
        <w:tblStyle w:val="14"/>
        <w:tblW w:w="8890" w:type="dxa"/>
        <w:tblInd w:w="0" w:type="dxa"/>
        <w:tblLayout w:type="fixed"/>
        <w:tblCellMar>
          <w:top w:w="0" w:type="dxa"/>
          <w:left w:w="108" w:type="dxa"/>
          <w:bottom w:w="0" w:type="dxa"/>
          <w:right w:w="108" w:type="dxa"/>
        </w:tblCellMar>
      </w:tblPr>
      <w:tblGrid>
        <w:gridCol w:w="2819"/>
        <w:gridCol w:w="2819"/>
        <w:gridCol w:w="3252"/>
      </w:tblGrid>
      <w:tr>
        <w:tblPrEx>
          <w:tblCellMar>
            <w:top w:w="0" w:type="dxa"/>
            <w:left w:w="108" w:type="dxa"/>
            <w:bottom w:w="0" w:type="dxa"/>
            <w:right w:w="108" w:type="dxa"/>
          </w:tblCellMar>
        </w:tblPrEx>
        <w:trPr>
          <w:trHeight w:val="270" w:hRule="atLeast"/>
          <w:tblHeader/>
        </w:trPr>
        <w:tc>
          <w:tcPr>
            <w:tcW w:w="2819" w:type="dxa"/>
            <w:tcBorders>
              <w:top w:val="nil"/>
              <w:left w:val="nil"/>
              <w:bottom w:val="nil"/>
              <w:right w:val="single" w:color="FFFFFF" w:sz="12" w:space="0"/>
            </w:tcBorders>
            <w:shd w:val="clear" w:color="000000" w:fill="2350A0"/>
            <w:noWrap/>
            <w:vAlign w:val="center"/>
          </w:tcPr>
          <w:p>
            <w:pPr>
              <w:widowControl/>
              <w:spacing w:line="320" w:lineRule="exact"/>
              <w:jc w:val="center"/>
              <w:rPr>
                <w:rFonts w:ascii="Calibri" w:hAnsi="Calibri"/>
                <w:b/>
                <w:bCs/>
                <w:color w:val="FFFFFF"/>
                <w:kern w:val="0"/>
                <w:sz w:val="20"/>
                <w:szCs w:val="20"/>
              </w:rPr>
            </w:pPr>
            <w:r>
              <w:rPr>
                <w:rFonts w:hint="eastAsia" w:ascii="Calibri" w:hAnsi="Calibri"/>
                <w:b/>
                <w:bCs/>
                <w:color w:val="FFFFFF"/>
                <w:sz w:val="20"/>
                <w:szCs w:val="20"/>
              </w:rPr>
              <w:t>院系名称</w:t>
            </w:r>
          </w:p>
        </w:tc>
        <w:tc>
          <w:tcPr>
            <w:tcW w:w="2819" w:type="dxa"/>
            <w:tcBorders>
              <w:top w:val="nil"/>
              <w:left w:val="nil"/>
              <w:bottom w:val="nil"/>
              <w:right w:val="single" w:color="FFFFFF" w:sz="12" w:space="0"/>
            </w:tcBorders>
            <w:shd w:val="clear" w:color="000000" w:fill="2350A0"/>
            <w:noWrap/>
            <w:vAlign w:val="center"/>
          </w:tcPr>
          <w:p>
            <w:pPr>
              <w:spacing w:line="320" w:lineRule="exact"/>
              <w:jc w:val="center"/>
              <w:rPr>
                <w:rFonts w:hint="eastAsia" w:ascii="Calibri" w:hAnsi="Calibri"/>
                <w:b/>
                <w:bCs/>
                <w:color w:val="FFFFFF"/>
                <w:sz w:val="20"/>
                <w:szCs w:val="20"/>
              </w:rPr>
            </w:pPr>
            <w:r>
              <w:rPr>
                <w:rFonts w:hint="eastAsia" w:ascii="Calibri" w:hAnsi="Calibri"/>
                <w:b/>
                <w:bCs/>
                <w:color w:val="FFFFFF"/>
                <w:sz w:val="20"/>
                <w:szCs w:val="20"/>
              </w:rPr>
              <w:t>专业名称</w:t>
            </w:r>
          </w:p>
        </w:tc>
        <w:tc>
          <w:tcPr>
            <w:tcW w:w="3252" w:type="dxa"/>
            <w:tcBorders>
              <w:top w:val="nil"/>
              <w:left w:val="nil"/>
              <w:bottom w:val="nil"/>
              <w:right w:val="single" w:color="FFFFFF" w:sz="12" w:space="0"/>
            </w:tcBorders>
            <w:shd w:val="clear" w:color="000000" w:fill="2350A0"/>
            <w:noWrap/>
            <w:vAlign w:val="center"/>
          </w:tcPr>
          <w:p>
            <w:pPr>
              <w:spacing w:line="320" w:lineRule="exact"/>
              <w:jc w:val="center"/>
              <w:rPr>
                <w:rFonts w:hint="eastAsia" w:ascii="Calibri" w:hAnsi="Calibri"/>
                <w:b/>
                <w:bCs/>
                <w:color w:val="FFFFFF"/>
                <w:sz w:val="20"/>
                <w:szCs w:val="20"/>
              </w:rPr>
            </w:pPr>
            <w:r>
              <w:rPr>
                <w:rFonts w:hint="eastAsia" w:ascii="Calibri" w:hAnsi="Calibri"/>
                <w:b/>
                <w:bCs/>
                <w:color w:val="FFFFFF"/>
                <w:sz w:val="20"/>
                <w:szCs w:val="20"/>
              </w:rPr>
              <w:t>本校该专业毕业生就业的主要行业</w:t>
            </w:r>
          </w:p>
        </w:tc>
      </w:tr>
      <w:tr>
        <w:tblPrEx>
          <w:tblCellMar>
            <w:top w:w="0" w:type="dxa"/>
            <w:left w:w="108" w:type="dxa"/>
            <w:bottom w:w="0" w:type="dxa"/>
            <w:right w:w="108" w:type="dxa"/>
          </w:tblCellMar>
        </w:tblPrEx>
        <w:trPr>
          <w:trHeight w:val="270" w:hRule="atLeast"/>
        </w:trPr>
        <w:tc>
          <w:tcPr>
            <w:tcW w:w="2819" w:type="dxa"/>
            <w:tcBorders>
              <w:top w:val="nil"/>
              <w:left w:val="nil"/>
              <w:bottom w:val="nil"/>
              <w:right w:val="nil"/>
            </w:tcBorders>
            <w:shd w:val="clear" w:color="000000" w:fill="FFFFFF"/>
            <w:noWrap/>
            <w:vAlign w:val="center"/>
          </w:tcPr>
          <w:p>
            <w:pPr>
              <w:spacing w:line="320" w:lineRule="exact"/>
              <w:jc w:val="left"/>
              <w:rPr>
                <w:rFonts w:hint="eastAsia" w:ascii="Calibri" w:hAnsi="Calibri"/>
                <w:color w:val="000000"/>
                <w:sz w:val="20"/>
                <w:szCs w:val="20"/>
              </w:rPr>
            </w:pPr>
            <w:r>
              <w:rPr>
                <w:rFonts w:hint="eastAsia" w:ascii="Calibri" w:hAnsi="Calibri"/>
                <w:color w:val="000000"/>
                <w:sz w:val="20"/>
                <w:szCs w:val="20"/>
              </w:rPr>
              <w:t>旅游系</w:t>
            </w:r>
          </w:p>
        </w:tc>
        <w:tc>
          <w:tcPr>
            <w:tcW w:w="2819" w:type="dxa"/>
            <w:tcBorders>
              <w:top w:val="nil"/>
              <w:left w:val="nil"/>
              <w:bottom w:val="nil"/>
              <w:right w:val="nil"/>
            </w:tcBorders>
            <w:shd w:val="clear" w:color="000000" w:fill="FFFFFF"/>
            <w:noWrap/>
            <w:vAlign w:val="center"/>
          </w:tcPr>
          <w:p>
            <w:pPr>
              <w:spacing w:line="320" w:lineRule="exact"/>
              <w:rPr>
                <w:rFonts w:hint="eastAsia" w:ascii="Calibri" w:hAnsi="Calibri"/>
                <w:color w:val="000000"/>
                <w:sz w:val="20"/>
                <w:szCs w:val="20"/>
              </w:rPr>
            </w:pPr>
            <w:r>
              <w:rPr>
                <w:rFonts w:hint="eastAsia" w:ascii="Calibri" w:hAnsi="Calibri"/>
                <w:color w:val="000000"/>
                <w:sz w:val="20"/>
                <w:szCs w:val="20"/>
              </w:rPr>
              <w:t>酒店管理</w:t>
            </w:r>
          </w:p>
        </w:tc>
        <w:tc>
          <w:tcPr>
            <w:tcW w:w="3252" w:type="dxa"/>
            <w:tcBorders>
              <w:top w:val="nil"/>
              <w:left w:val="nil"/>
              <w:bottom w:val="nil"/>
              <w:right w:val="nil"/>
            </w:tcBorders>
            <w:shd w:val="clear" w:color="000000" w:fill="FFFFFF"/>
            <w:noWrap/>
            <w:vAlign w:val="center"/>
          </w:tcPr>
          <w:p>
            <w:pPr>
              <w:spacing w:line="320" w:lineRule="exact"/>
              <w:rPr>
                <w:rFonts w:hint="eastAsia" w:ascii="Calibri" w:hAnsi="Calibri"/>
                <w:color w:val="000000"/>
                <w:sz w:val="20"/>
                <w:szCs w:val="20"/>
              </w:rPr>
            </w:pPr>
            <w:r>
              <w:rPr>
                <w:rFonts w:hint="eastAsia" w:ascii="Calibri" w:hAnsi="Calibri"/>
                <w:color w:val="000000"/>
                <w:sz w:val="20"/>
                <w:szCs w:val="20"/>
              </w:rPr>
              <w:t>旅客住宿业</w:t>
            </w:r>
          </w:p>
        </w:tc>
      </w:tr>
      <w:tr>
        <w:tblPrEx>
          <w:tblCellMar>
            <w:top w:w="0" w:type="dxa"/>
            <w:left w:w="108" w:type="dxa"/>
            <w:bottom w:w="0" w:type="dxa"/>
            <w:right w:w="108" w:type="dxa"/>
          </w:tblCellMar>
        </w:tblPrEx>
        <w:trPr>
          <w:trHeight w:val="270" w:hRule="atLeast"/>
        </w:trPr>
        <w:tc>
          <w:tcPr>
            <w:tcW w:w="2819" w:type="dxa"/>
            <w:tcBorders>
              <w:top w:val="nil"/>
              <w:left w:val="nil"/>
              <w:bottom w:val="nil"/>
              <w:right w:val="nil"/>
            </w:tcBorders>
            <w:shd w:val="clear" w:color="000000" w:fill="BEEDF8"/>
            <w:noWrap/>
            <w:vAlign w:val="center"/>
          </w:tcPr>
          <w:p>
            <w:pPr>
              <w:spacing w:line="320" w:lineRule="exact"/>
              <w:rPr>
                <w:rFonts w:hint="eastAsia" w:ascii="Calibri" w:hAnsi="Calibri"/>
                <w:color w:val="000000"/>
                <w:sz w:val="20"/>
                <w:szCs w:val="20"/>
              </w:rPr>
            </w:pPr>
            <w:r>
              <w:rPr>
                <w:rFonts w:hint="eastAsia" w:ascii="Calibri" w:hAnsi="Calibri"/>
                <w:color w:val="000000"/>
                <w:sz w:val="20"/>
                <w:szCs w:val="20"/>
              </w:rPr>
              <w:t>旅游系</w:t>
            </w:r>
          </w:p>
        </w:tc>
        <w:tc>
          <w:tcPr>
            <w:tcW w:w="2819" w:type="dxa"/>
            <w:tcBorders>
              <w:top w:val="nil"/>
              <w:left w:val="nil"/>
              <w:bottom w:val="nil"/>
              <w:right w:val="nil"/>
            </w:tcBorders>
            <w:shd w:val="clear" w:color="000000" w:fill="BEEDF8"/>
            <w:noWrap/>
            <w:vAlign w:val="center"/>
          </w:tcPr>
          <w:p>
            <w:pPr>
              <w:spacing w:line="320" w:lineRule="exact"/>
              <w:rPr>
                <w:rFonts w:hint="eastAsia" w:ascii="Calibri" w:hAnsi="Calibri"/>
                <w:color w:val="000000"/>
                <w:sz w:val="20"/>
                <w:szCs w:val="20"/>
              </w:rPr>
            </w:pPr>
            <w:r>
              <w:rPr>
                <w:rFonts w:hint="eastAsia" w:ascii="Calibri" w:hAnsi="Calibri"/>
                <w:color w:val="000000"/>
                <w:sz w:val="20"/>
                <w:szCs w:val="20"/>
              </w:rPr>
              <w:t>旅游管理</w:t>
            </w:r>
          </w:p>
        </w:tc>
        <w:tc>
          <w:tcPr>
            <w:tcW w:w="3252" w:type="dxa"/>
            <w:tcBorders>
              <w:top w:val="nil"/>
              <w:left w:val="nil"/>
              <w:bottom w:val="nil"/>
              <w:right w:val="nil"/>
            </w:tcBorders>
            <w:shd w:val="clear" w:color="000000" w:fill="BEEDF8"/>
            <w:noWrap/>
            <w:vAlign w:val="center"/>
          </w:tcPr>
          <w:p>
            <w:pPr>
              <w:spacing w:line="320" w:lineRule="exact"/>
              <w:rPr>
                <w:rFonts w:hint="eastAsia" w:ascii="Calibri" w:hAnsi="Calibri"/>
                <w:color w:val="000000"/>
                <w:sz w:val="20"/>
                <w:szCs w:val="20"/>
              </w:rPr>
            </w:pPr>
            <w:r>
              <w:rPr>
                <w:rFonts w:hint="eastAsia" w:ascii="Calibri" w:hAnsi="Calibri"/>
                <w:color w:val="000000"/>
                <w:sz w:val="20"/>
                <w:szCs w:val="20"/>
              </w:rPr>
              <w:t>综合性餐饮业</w:t>
            </w:r>
          </w:p>
        </w:tc>
      </w:tr>
      <w:tr>
        <w:tblPrEx>
          <w:tblCellMar>
            <w:top w:w="0" w:type="dxa"/>
            <w:left w:w="108" w:type="dxa"/>
            <w:bottom w:w="0" w:type="dxa"/>
            <w:right w:w="108" w:type="dxa"/>
          </w:tblCellMar>
        </w:tblPrEx>
        <w:trPr>
          <w:trHeight w:val="270" w:hRule="atLeast"/>
        </w:trPr>
        <w:tc>
          <w:tcPr>
            <w:tcW w:w="2819" w:type="dxa"/>
            <w:tcBorders>
              <w:top w:val="nil"/>
              <w:left w:val="nil"/>
              <w:bottom w:val="nil"/>
              <w:right w:val="nil"/>
            </w:tcBorders>
            <w:shd w:val="clear" w:color="000000" w:fill="FFFFFF"/>
            <w:noWrap/>
            <w:vAlign w:val="center"/>
          </w:tcPr>
          <w:p>
            <w:pPr>
              <w:spacing w:line="320" w:lineRule="exact"/>
              <w:rPr>
                <w:rFonts w:hint="eastAsia" w:ascii="Calibri" w:hAnsi="Calibri"/>
                <w:color w:val="000000"/>
                <w:sz w:val="20"/>
                <w:szCs w:val="20"/>
              </w:rPr>
            </w:pPr>
            <w:r>
              <w:rPr>
                <w:rFonts w:hint="eastAsia" w:ascii="Calibri" w:hAnsi="Calibri"/>
                <w:color w:val="000000"/>
                <w:sz w:val="20"/>
                <w:szCs w:val="20"/>
              </w:rPr>
              <w:t>旅游系</w:t>
            </w:r>
          </w:p>
        </w:tc>
        <w:tc>
          <w:tcPr>
            <w:tcW w:w="2819" w:type="dxa"/>
            <w:tcBorders>
              <w:top w:val="nil"/>
              <w:left w:val="nil"/>
              <w:bottom w:val="nil"/>
              <w:right w:val="nil"/>
            </w:tcBorders>
            <w:shd w:val="clear" w:color="000000" w:fill="FFFFFF"/>
            <w:noWrap/>
            <w:vAlign w:val="center"/>
          </w:tcPr>
          <w:p>
            <w:pPr>
              <w:spacing w:line="320" w:lineRule="exact"/>
              <w:rPr>
                <w:rFonts w:hint="eastAsia" w:ascii="Calibri" w:hAnsi="Calibri"/>
                <w:color w:val="000000"/>
                <w:sz w:val="20"/>
                <w:szCs w:val="20"/>
              </w:rPr>
            </w:pPr>
            <w:r>
              <w:rPr>
                <w:rFonts w:hint="eastAsia" w:ascii="Calibri" w:hAnsi="Calibri"/>
                <w:color w:val="000000"/>
                <w:sz w:val="20"/>
                <w:szCs w:val="20"/>
              </w:rPr>
              <w:t>烹调工艺与营养</w:t>
            </w:r>
          </w:p>
        </w:tc>
        <w:tc>
          <w:tcPr>
            <w:tcW w:w="3252" w:type="dxa"/>
            <w:tcBorders>
              <w:top w:val="nil"/>
              <w:left w:val="nil"/>
              <w:bottom w:val="nil"/>
              <w:right w:val="nil"/>
            </w:tcBorders>
            <w:shd w:val="clear" w:color="000000" w:fill="FFFFFF"/>
            <w:noWrap/>
            <w:vAlign w:val="center"/>
          </w:tcPr>
          <w:p>
            <w:pPr>
              <w:spacing w:line="320" w:lineRule="exact"/>
              <w:rPr>
                <w:rFonts w:hint="eastAsia" w:ascii="Calibri" w:hAnsi="Calibri"/>
                <w:color w:val="000000"/>
                <w:sz w:val="20"/>
                <w:szCs w:val="20"/>
              </w:rPr>
            </w:pPr>
            <w:r>
              <w:rPr>
                <w:rFonts w:hint="eastAsia" w:ascii="Calibri" w:hAnsi="Calibri"/>
                <w:color w:val="000000"/>
                <w:sz w:val="20"/>
                <w:szCs w:val="20"/>
              </w:rPr>
              <w:t>综合性餐饮业</w:t>
            </w:r>
          </w:p>
        </w:tc>
      </w:tr>
      <w:tr>
        <w:tblPrEx>
          <w:tblCellMar>
            <w:top w:w="0" w:type="dxa"/>
            <w:left w:w="108" w:type="dxa"/>
            <w:bottom w:w="0" w:type="dxa"/>
            <w:right w:w="108" w:type="dxa"/>
          </w:tblCellMar>
        </w:tblPrEx>
        <w:trPr>
          <w:trHeight w:val="285" w:hRule="atLeast"/>
        </w:trPr>
        <w:tc>
          <w:tcPr>
            <w:tcW w:w="2819" w:type="dxa"/>
            <w:tcBorders>
              <w:top w:val="nil"/>
              <w:left w:val="nil"/>
              <w:bottom w:val="single" w:color="57B8E7" w:sz="12" w:space="0"/>
              <w:right w:val="nil"/>
            </w:tcBorders>
            <w:shd w:val="clear" w:color="000000" w:fill="BEEDF8"/>
            <w:noWrap/>
            <w:vAlign w:val="center"/>
          </w:tcPr>
          <w:p>
            <w:pPr>
              <w:spacing w:line="320" w:lineRule="exact"/>
              <w:rPr>
                <w:rFonts w:hint="eastAsia" w:ascii="Calibri" w:hAnsi="Calibri"/>
                <w:color w:val="000000"/>
                <w:sz w:val="20"/>
                <w:szCs w:val="20"/>
              </w:rPr>
            </w:pPr>
            <w:r>
              <w:rPr>
                <w:rFonts w:hint="eastAsia" w:ascii="Calibri" w:hAnsi="Calibri"/>
                <w:color w:val="000000"/>
                <w:sz w:val="20"/>
                <w:szCs w:val="20"/>
              </w:rPr>
              <w:t>英语系</w:t>
            </w:r>
          </w:p>
        </w:tc>
        <w:tc>
          <w:tcPr>
            <w:tcW w:w="2819" w:type="dxa"/>
            <w:tcBorders>
              <w:top w:val="nil"/>
              <w:left w:val="nil"/>
              <w:bottom w:val="single" w:color="57B8E7" w:sz="12" w:space="0"/>
              <w:right w:val="nil"/>
            </w:tcBorders>
            <w:shd w:val="clear" w:color="000000" w:fill="BEEDF8"/>
            <w:noWrap/>
            <w:vAlign w:val="center"/>
          </w:tcPr>
          <w:p>
            <w:pPr>
              <w:spacing w:line="320" w:lineRule="exact"/>
              <w:rPr>
                <w:rFonts w:hint="eastAsia" w:ascii="Calibri" w:hAnsi="Calibri"/>
                <w:color w:val="000000"/>
                <w:sz w:val="20"/>
                <w:szCs w:val="20"/>
              </w:rPr>
            </w:pPr>
            <w:r>
              <w:rPr>
                <w:rFonts w:hint="eastAsia" w:ascii="Calibri" w:hAnsi="Calibri"/>
                <w:color w:val="000000"/>
                <w:sz w:val="20"/>
                <w:szCs w:val="20"/>
              </w:rPr>
              <w:t>应用英语（少儿师资）</w:t>
            </w:r>
          </w:p>
        </w:tc>
        <w:tc>
          <w:tcPr>
            <w:tcW w:w="3252" w:type="dxa"/>
            <w:tcBorders>
              <w:top w:val="nil"/>
              <w:left w:val="nil"/>
              <w:bottom w:val="single" w:color="57B8E7" w:sz="12" w:space="0"/>
              <w:right w:val="nil"/>
            </w:tcBorders>
            <w:shd w:val="clear" w:color="000000" w:fill="BEEDF8"/>
            <w:noWrap/>
            <w:vAlign w:val="center"/>
          </w:tcPr>
          <w:p>
            <w:pPr>
              <w:spacing w:line="320" w:lineRule="exact"/>
              <w:rPr>
                <w:rFonts w:hint="eastAsia" w:ascii="Calibri" w:hAnsi="Calibri"/>
                <w:color w:val="000000"/>
                <w:sz w:val="20"/>
                <w:szCs w:val="20"/>
              </w:rPr>
            </w:pPr>
            <w:r>
              <w:rPr>
                <w:rFonts w:hint="eastAsia" w:ascii="Calibri" w:hAnsi="Calibri"/>
                <w:color w:val="000000"/>
                <w:sz w:val="20"/>
                <w:szCs w:val="20"/>
              </w:rPr>
              <w:t>中小学教育机构</w:t>
            </w:r>
          </w:p>
        </w:tc>
      </w:tr>
    </w:tbl>
    <w:p>
      <w:pPr>
        <w:jc w:val="left"/>
        <w:rPr>
          <w:rFonts w:hint="eastAsia" w:asciiTheme="minorEastAsia" w:hAnsiTheme="minorEastAsia" w:eastAsiaTheme="minorEastAsia" w:cstheme="minorEastAsia"/>
          <w:color w:val="000000"/>
          <w:sz w:val="21"/>
          <w:szCs w:val="32"/>
        </w:rPr>
      </w:pPr>
      <w:r>
        <w:rPr>
          <w:rFonts w:hint="eastAsia" w:asciiTheme="minorEastAsia" w:hAnsiTheme="minorEastAsia" w:eastAsiaTheme="minorEastAsia" w:cstheme="minorEastAsia"/>
          <w:color w:val="000000"/>
          <w:sz w:val="21"/>
          <w:szCs w:val="32"/>
        </w:rPr>
        <w:t>注：个别专业因样本较少没有包括在内。</w:t>
      </w:r>
    </w:p>
    <w:p>
      <w:pPr>
        <w:jc w:val="left"/>
        <w:rPr>
          <w:rFonts w:hint="eastAsia" w:asciiTheme="minorEastAsia" w:hAnsiTheme="minorEastAsia" w:eastAsiaTheme="minorEastAsia" w:cstheme="minorEastAsia"/>
          <w:color w:val="000000"/>
          <w:sz w:val="21"/>
          <w:szCs w:val="32"/>
        </w:rPr>
      </w:pPr>
      <w:r>
        <w:rPr>
          <w:rFonts w:hint="eastAsia" w:asciiTheme="minorEastAsia" w:hAnsiTheme="minorEastAsia" w:eastAsiaTheme="minorEastAsia" w:cstheme="minorEastAsia"/>
          <w:color w:val="000000"/>
          <w:sz w:val="21"/>
          <w:szCs w:val="32"/>
        </w:rPr>
        <w:t>数据来源：麦可思-海南外国语职业学院2019届毕业生培养质量评价数据。</w:t>
      </w:r>
    </w:p>
    <w:p>
      <w:pPr>
        <w:jc w:val="left"/>
        <w:rPr>
          <w:rFonts w:hint="eastAsia" w:asciiTheme="minorEastAsia" w:hAnsiTheme="minorEastAsia" w:eastAsiaTheme="minorEastAsia" w:cstheme="minorEastAsia"/>
          <w:color w:val="000000"/>
          <w:sz w:val="21"/>
          <w:szCs w:val="32"/>
        </w:rPr>
      </w:pPr>
    </w:p>
    <w:bookmarkEnd w:id="111"/>
    <w:p>
      <w:pPr>
        <w:rPr>
          <w:rFonts w:ascii="Calibri" w:hAnsi="Calibri"/>
        </w:rPr>
      </w:pPr>
    </w:p>
    <w:p>
      <w:pPr>
        <w:spacing w:line="240" w:lineRule="auto"/>
        <w:jc w:val="left"/>
        <w:rPr>
          <w:rFonts w:hint="eastAsia" w:ascii="Calibri" w:hAnsi="Calibri" w:cs="Arial"/>
          <w:kern w:val="0"/>
          <w:sz w:val="18"/>
          <w:szCs w:val="18"/>
        </w:rPr>
      </w:pPr>
    </w:p>
    <w:p>
      <w:pPr>
        <w:pStyle w:val="5"/>
        <w:numPr>
          <w:ilvl w:val="0"/>
          <w:numId w:val="4"/>
        </w:numPr>
        <w:bidi w:val="0"/>
        <w:ind w:left="0" w:leftChars="0" w:firstLine="0" w:firstLineChars="0"/>
        <w:sectPr>
          <w:footnotePr>
            <w:numRestart w:val="eachSect"/>
          </w:footnotePr>
          <w:pgSz w:w="11906" w:h="16838"/>
          <w:pgMar w:top="1985" w:right="1531" w:bottom="1701" w:left="1701" w:header="964" w:footer="851" w:gutter="0"/>
          <w:pgNumType w:fmt="decimal"/>
          <w:cols w:space="425" w:num="1"/>
          <w:docGrid w:linePitch="312" w:charSpace="0"/>
        </w:sectPr>
      </w:pPr>
    </w:p>
    <w:bookmarkEnd w:id="107"/>
    <w:p>
      <w:pPr>
        <w:pStyle w:val="4"/>
        <w:bidi w:val="0"/>
        <w:rPr>
          <w:rFonts w:hint="eastAsia"/>
        </w:rPr>
      </w:pPr>
      <w:bookmarkStart w:id="112" w:name="_Toc22764"/>
      <w:bookmarkStart w:id="113" w:name="icb_22"/>
      <w:bookmarkStart w:id="114" w:name="pb_502"/>
      <w:r>
        <w:rPr>
          <w:rFonts w:hint="eastAsia"/>
        </w:rPr>
        <w:t>毕业生的用人单位流向</w:t>
      </w:r>
      <w:bookmarkEnd w:id="112"/>
    </w:p>
    <w:p>
      <w:pPr>
        <w:pStyle w:val="7"/>
        <w:bidi w:val="0"/>
        <w:rPr>
          <w:rFonts w:hint="eastAsia"/>
          <w:lang w:eastAsia="zh-CN"/>
        </w:rPr>
      </w:pPr>
      <w:r>
        <w:rPr>
          <w:rFonts w:hint="eastAsia"/>
          <w:lang w:eastAsia="zh-CN"/>
        </w:rPr>
        <w:t>民营企业是毕业生就业的主体，本校2019届毕业生在民营企业就业的比例达七成以上（72%），其次是中外合资/外资/独资（12%）；毕业生就业单位以300人以下规模的中小型用人单位为主，就业比例达六成以上（64%）。</w:t>
      </w:r>
    </w:p>
    <w:p>
      <w:pPr>
        <w:pStyle w:val="8"/>
        <w:numPr>
          <w:ilvl w:val="0"/>
          <w:numId w:val="0"/>
        </w:numPr>
        <w:spacing w:line="360" w:lineRule="auto"/>
        <w:jc w:val="center"/>
        <w:rPr>
          <w:rFonts w:hint="eastAsia" w:asciiTheme="minorEastAsia" w:hAnsiTheme="minorEastAsia" w:eastAsiaTheme="minorEastAsia" w:cstheme="minorEastAsia"/>
          <w:b/>
          <w:bCs/>
          <w:kern w:val="2"/>
          <w:sz w:val="21"/>
          <w:szCs w:val="21"/>
          <w:lang w:val="en-US" w:eastAsia="zh-CN" w:bidi="ar-SA"/>
        </w:rPr>
      </w:pPr>
      <w:r>
        <w:drawing>
          <wp:anchor distT="0" distB="0" distL="114300" distR="114300" simplePos="0" relativeHeight="251658240" behindDoc="0" locked="0" layoutInCell="1" allowOverlap="1">
            <wp:simplePos x="0" y="0"/>
            <wp:positionH relativeFrom="column">
              <wp:posOffset>57150</wp:posOffset>
            </wp:positionH>
            <wp:positionV relativeFrom="paragraph">
              <wp:posOffset>26035</wp:posOffset>
            </wp:positionV>
            <wp:extent cx="5362575" cy="2657475"/>
            <wp:effectExtent l="0" t="0" r="0" b="6985"/>
            <wp:wrapSquare wrapText="bothSides"/>
            <wp:docPr id="109"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 name="图片 40"/>
                    <pic:cNvPicPr>
                      <a:picLocks noChangeAspect="1"/>
                    </pic:cNvPicPr>
                  </pic:nvPicPr>
                  <pic:blipFill>
                    <a:blip r:embed="rId15"/>
                    <a:stretch>
                      <a:fillRect/>
                    </a:stretch>
                  </pic:blipFill>
                  <pic:spPr>
                    <a:xfrm>
                      <a:off x="0" y="0"/>
                      <a:ext cx="5362575" cy="2657475"/>
                    </a:xfrm>
                    <a:prstGeom prst="rect">
                      <a:avLst/>
                    </a:prstGeom>
                    <a:noFill/>
                    <a:ln>
                      <a:noFill/>
                    </a:ln>
                  </pic:spPr>
                </pic:pic>
              </a:graphicData>
            </a:graphic>
          </wp:anchor>
        </w:drawing>
      </w:r>
      <w:bookmarkStart w:id="115" w:name="_Toc23442234"/>
      <w:bookmarkStart w:id="116" w:name="_Toc501015376"/>
      <w:r>
        <w:rPr>
          <w:rFonts w:hint="eastAsia" w:asciiTheme="minorEastAsia" w:hAnsiTheme="minorEastAsia" w:eastAsiaTheme="minorEastAsia" w:cstheme="minorEastAsia"/>
          <w:b/>
          <w:bCs/>
          <w:kern w:val="2"/>
          <w:sz w:val="21"/>
          <w:szCs w:val="21"/>
          <w:lang w:val="en-US" w:eastAsia="zh-CN" w:bidi="ar-SA"/>
        </w:rPr>
        <w:t>图 1-4不同类型用人单位分布</w:t>
      </w:r>
      <w:bookmarkEnd w:id="115"/>
      <w:bookmarkEnd w:id="116"/>
    </w:p>
    <w:p>
      <w:pPr>
        <w:jc w:val="left"/>
        <w:rPr>
          <w:rFonts w:hint="eastAsia" w:ascii="Calibri" w:hAnsi="Calibri" w:cs="Arial"/>
          <w:b w:val="0"/>
          <w:szCs w:val="21"/>
          <w:lang w:eastAsia="zh-CN"/>
        </w:rPr>
      </w:pPr>
      <w:r>
        <w:rPr>
          <w:rFonts w:hint="eastAsia" w:asciiTheme="minorEastAsia" w:hAnsiTheme="minorEastAsia" w:eastAsiaTheme="minorEastAsia" w:cstheme="minorEastAsia"/>
          <w:color w:val="000000"/>
          <w:sz w:val="21"/>
          <w:szCs w:val="32"/>
        </w:rPr>
        <w:t>数据来源：麦可思-海南外国语职业学院2019届毕业生培养质量评价数据。</w:t>
      </w:r>
      <w:bookmarkEnd w:id="113"/>
    </w:p>
    <w:p>
      <w:pPr>
        <w:jc w:val="center"/>
        <w:rPr>
          <w:rFonts w:ascii="Calibri" w:hAnsi="Calibri" w:cs="Arial"/>
          <w:kern w:val="0"/>
          <w:sz w:val="18"/>
          <w:szCs w:val="18"/>
        </w:rPr>
      </w:pPr>
      <w:bookmarkStart w:id="117" w:name="icb_23"/>
      <w:r>
        <w:rPr>
          <w:rFonts w:ascii="Calibri" w:hAnsi="Calibri" w:cs="Arial"/>
          <w:kern w:val="0"/>
          <w:sz w:val="18"/>
          <w:szCs w:val="18"/>
        </w:rPr>
        <w:drawing>
          <wp:inline distT="0" distB="0" distL="114300" distR="114300">
            <wp:extent cx="5362575" cy="2667000"/>
            <wp:effectExtent l="0" t="0" r="0" b="0"/>
            <wp:docPr id="11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图片 41"/>
                    <pic:cNvPicPr>
                      <a:picLocks noChangeAspect="1"/>
                    </pic:cNvPicPr>
                  </pic:nvPicPr>
                  <pic:blipFill>
                    <a:blip r:embed="rId16"/>
                    <a:stretch>
                      <a:fillRect/>
                    </a:stretch>
                  </pic:blipFill>
                  <pic:spPr>
                    <a:xfrm>
                      <a:off x="0" y="0"/>
                      <a:ext cx="5362575" cy="2667000"/>
                    </a:xfrm>
                    <a:prstGeom prst="rect">
                      <a:avLst/>
                    </a:prstGeom>
                    <a:noFill/>
                    <a:ln>
                      <a:noFill/>
                    </a:ln>
                  </pic:spPr>
                </pic:pic>
              </a:graphicData>
            </a:graphic>
          </wp:inline>
        </w:drawing>
      </w:r>
    </w:p>
    <w:p>
      <w:pPr>
        <w:pStyle w:val="8"/>
        <w:numPr>
          <w:ilvl w:val="0"/>
          <w:numId w:val="0"/>
        </w:numPr>
        <w:spacing w:line="360" w:lineRule="auto"/>
        <w:jc w:val="center"/>
        <w:rPr>
          <w:rFonts w:hint="eastAsia" w:asciiTheme="minorEastAsia" w:hAnsiTheme="minorEastAsia" w:eastAsiaTheme="minorEastAsia" w:cstheme="minorEastAsia"/>
          <w:b/>
          <w:bCs/>
          <w:kern w:val="2"/>
          <w:sz w:val="21"/>
          <w:szCs w:val="21"/>
          <w:lang w:val="en-US" w:eastAsia="zh-CN" w:bidi="ar-SA"/>
        </w:rPr>
      </w:pPr>
      <w:bookmarkStart w:id="118" w:name="_Toc23442235"/>
      <w:r>
        <w:rPr>
          <w:rFonts w:hint="eastAsia" w:asciiTheme="minorEastAsia" w:hAnsiTheme="minorEastAsia" w:eastAsiaTheme="minorEastAsia" w:cstheme="minorEastAsia"/>
          <w:b/>
          <w:bCs/>
          <w:kern w:val="2"/>
          <w:sz w:val="21"/>
          <w:szCs w:val="21"/>
          <w:lang w:val="en-US" w:eastAsia="zh-CN" w:bidi="ar-SA"/>
        </w:rPr>
        <w:t>图 1-5不同规模用人单位分布</w:t>
      </w:r>
      <w:bookmarkEnd w:id="118"/>
    </w:p>
    <w:p>
      <w:pPr>
        <w:jc w:val="left"/>
        <w:rPr>
          <w:rFonts w:hint="eastAsia" w:asciiTheme="minorEastAsia" w:hAnsiTheme="minorEastAsia" w:eastAsiaTheme="minorEastAsia" w:cstheme="minorEastAsia"/>
          <w:color w:val="000000"/>
          <w:sz w:val="21"/>
          <w:szCs w:val="32"/>
        </w:rPr>
      </w:pPr>
      <w:r>
        <w:rPr>
          <w:rFonts w:hint="eastAsia" w:asciiTheme="minorEastAsia" w:hAnsiTheme="minorEastAsia" w:eastAsiaTheme="minorEastAsia" w:cstheme="minorEastAsia"/>
          <w:color w:val="000000"/>
          <w:sz w:val="21"/>
          <w:szCs w:val="32"/>
        </w:rPr>
        <w:t>数据来源：麦可思-海南外国语职业学院2019届毕业生培养质量评价数据。</w:t>
      </w:r>
      <w:bookmarkEnd w:id="117"/>
    </w:p>
    <w:p>
      <w:pPr>
        <w:jc w:val="left"/>
        <w:rPr>
          <w:rFonts w:hint="eastAsia" w:asciiTheme="minorEastAsia" w:hAnsiTheme="minorEastAsia" w:eastAsiaTheme="minorEastAsia" w:cstheme="minorEastAsia"/>
          <w:color w:val="000000"/>
          <w:sz w:val="21"/>
          <w:szCs w:val="32"/>
        </w:rPr>
        <w:sectPr>
          <w:footnotePr>
            <w:numRestart w:val="eachSect"/>
          </w:footnotePr>
          <w:pgSz w:w="11906" w:h="16838"/>
          <w:pgMar w:top="1985" w:right="1531" w:bottom="1701" w:left="1701" w:header="964" w:footer="851" w:gutter="0"/>
          <w:pgNumType w:fmt="decimal"/>
          <w:cols w:space="425" w:num="1"/>
          <w:docGrid w:linePitch="312" w:charSpace="0"/>
        </w:sectPr>
      </w:pPr>
    </w:p>
    <w:bookmarkEnd w:id="114"/>
    <w:p>
      <w:pPr>
        <w:pStyle w:val="4"/>
        <w:bidi w:val="0"/>
      </w:pPr>
      <w:bookmarkStart w:id="119" w:name="_Toc13335"/>
      <w:bookmarkStart w:id="120" w:name="icb_24"/>
      <w:bookmarkStart w:id="121" w:name="pb_16"/>
      <w:r>
        <w:rPr>
          <w:rFonts w:ascii="Calibri" w:hAnsi="Calibri"/>
        </w:rPr>
        <w:drawing>
          <wp:anchor distT="0" distB="0" distL="114300" distR="114300" simplePos="0" relativeHeight="251664384" behindDoc="0" locked="0" layoutInCell="1" allowOverlap="1">
            <wp:simplePos x="0" y="0"/>
            <wp:positionH relativeFrom="column">
              <wp:posOffset>-165735</wp:posOffset>
            </wp:positionH>
            <wp:positionV relativeFrom="paragraph">
              <wp:posOffset>835025</wp:posOffset>
            </wp:positionV>
            <wp:extent cx="5210175" cy="4029075"/>
            <wp:effectExtent l="0" t="0" r="0" b="0"/>
            <wp:wrapTopAndBottom/>
            <wp:docPr id="110"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图片 42"/>
                    <pic:cNvPicPr>
                      <a:picLocks noChangeAspect="1"/>
                    </pic:cNvPicPr>
                  </pic:nvPicPr>
                  <pic:blipFill>
                    <a:blip r:embed="rId17"/>
                    <a:stretch>
                      <a:fillRect/>
                    </a:stretch>
                  </pic:blipFill>
                  <pic:spPr>
                    <a:xfrm>
                      <a:off x="0" y="0"/>
                      <a:ext cx="5210175" cy="4029075"/>
                    </a:xfrm>
                    <a:prstGeom prst="rect">
                      <a:avLst/>
                    </a:prstGeom>
                    <a:noFill/>
                    <a:ln>
                      <a:noFill/>
                    </a:ln>
                  </pic:spPr>
                </pic:pic>
              </a:graphicData>
            </a:graphic>
          </wp:anchor>
        </w:drawing>
      </w:r>
      <w:r>
        <w:rPr>
          <w:rFonts w:hint="eastAsia"/>
        </w:rPr>
        <w:t>各院系及专业</w:t>
      </w:r>
      <w:r>
        <w:rPr>
          <w:rFonts w:hint="eastAsia"/>
          <w:lang w:eastAsia="zh-CN"/>
        </w:rPr>
        <w:t>毕业生</w:t>
      </w:r>
      <w:r>
        <w:rPr>
          <w:rFonts w:hint="eastAsia"/>
        </w:rPr>
        <w:t>的用人单位流向</w:t>
      </w:r>
      <w:bookmarkEnd w:id="119"/>
    </w:p>
    <w:p>
      <w:pPr>
        <w:pStyle w:val="6"/>
        <w:spacing w:before="120" w:after="120"/>
        <w:jc w:val="center"/>
        <w:rPr>
          <w:rFonts w:ascii="Calibri" w:hAnsi="Calibri"/>
        </w:rPr>
      </w:pPr>
    </w:p>
    <w:p>
      <w:pPr>
        <w:pStyle w:val="8"/>
        <w:numPr>
          <w:ilvl w:val="0"/>
          <w:numId w:val="0"/>
        </w:numPr>
        <w:spacing w:line="360" w:lineRule="auto"/>
        <w:jc w:val="center"/>
        <w:rPr>
          <w:rFonts w:hint="eastAsia" w:asciiTheme="minorEastAsia" w:hAnsiTheme="minorEastAsia" w:eastAsiaTheme="minorEastAsia" w:cstheme="minorEastAsia"/>
          <w:b/>
          <w:bCs/>
          <w:kern w:val="2"/>
          <w:sz w:val="21"/>
          <w:szCs w:val="21"/>
          <w:lang w:val="en-US" w:eastAsia="zh-CN" w:bidi="ar-SA"/>
        </w:rPr>
      </w:pPr>
      <w:bookmarkStart w:id="122" w:name="_Toc23442236"/>
      <w:bookmarkStart w:id="123" w:name="_Toc531614184"/>
      <w:r>
        <w:rPr>
          <w:rFonts w:hint="eastAsia" w:asciiTheme="minorEastAsia" w:hAnsiTheme="minorEastAsia" w:eastAsiaTheme="minorEastAsia" w:cstheme="minorEastAsia"/>
          <w:b/>
          <w:bCs/>
          <w:kern w:val="2"/>
          <w:sz w:val="21"/>
          <w:szCs w:val="21"/>
          <w:lang w:val="en-US" w:eastAsia="zh-CN" w:bidi="ar-SA"/>
        </w:rPr>
        <w:t>图 1-6各院系毕业生的用人单位类型分布</w:t>
      </w:r>
      <w:bookmarkEnd w:id="122"/>
      <w:bookmarkEnd w:id="123"/>
    </w:p>
    <w:p>
      <w:pPr>
        <w:jc w:val="left"/>
        <w:rPr>
          <w:rFonts w:hint="eastAsia" w:asciiTheme="minorEastAsia" w:hAnsiTheme="minorEastAsia" w:eastAsiaTheme="minorEastAsia" w:cstheme="minorEastAsia"/>
          <w:color w:val="000000"/>
          <w:sz w:val="21"/>
          <w:szCs w:val="32"/>
        </w:rPr>
      </w:pPr>
      <w:r>
        <w:rPr>
          <w:rFonts w:hint="eastAsia" w:asciiTheme="minorEastAsia" w:hAnsiTheme="minorEastAsia" w:eastAsiaTheme="minorEastAsia" w:cstheme="minorEastAsia"/>
          <w:color w:val="000000"/>
          <w:sz w:val="21"/>
          <w:szCs w:val="32"/>
        </w:rPr>
        <w:t>注：个别院系由于样本较少没有包括在内。</w:t>
      </w:r>
    </w:p>
    <w:p>
      <w:pPr>
        <w:jc w:val="left"/>
        <w:rPr>
          <w:rFonts w:hint="eastAsia" w:asciiTheme="minorEastAsia" w:hAnsiTheme="minorEastAsia" w:eastAsiaTheme="minorEastAsia" w:cstheme="minorEastAsia"/>
          <w:color w:val="000000"/>
          <w:sz w:val="21"/>
          <w:szCs w:val="32"/>
        </w:rPr>
      </w:pPr>
      <w:r>
        <w:rPr>
          <w:rFonts w:hint="eastAsia" w:asciiTheme="minorEastAsia" w:hAnsiTheme="minorEastAsia" w:eastAsiaTheme="minorEastAsia" w:cstheme="minorEastAsia"/>
          <w:color w:val="000000"/>
          <w:sz w:val="21"/>
          <w:szCs w:val="32"/>
        </w:rPr>
        <w:t>数据来源：麦可思-海南外国语职业学院2019届毕业生培养质量评价数据。</w:t>
      </w:r>
    </w:p>
    <w:p>
      <w:pPr>
        <w:rPr>
          <w:rFonts w:hint="eastAsia" w:ascii="Calibri" w:hAnsi="Calibri"/>
        </w:rPr>
      </w:pPr>
    </w:p>
    <w:bookmarkEnd w:id="120"/>
    <w:p>
      <w:pPr>
        <w:jc w:val="center"/>
        <w:rPr>
          <w:rFonts w:hint="eastAsia" w:ascii="Calibri" w:hAnsi="Calibri" w:cs="Arial"/>
          <w:kern w:val="0"/>
          <w:sz w:val="18"/>
          <w:szCs w:val="18"/>
        </w:rPr>
      </w:pPr>
      <w:bookmarkStart w:id="124" w:name="icb_8005"/>
      <w:r>
        <w:rPr>
          <w:rFonts w:ascii="Calibri" w:hAnsi="Calibri" w:cs="Arial"/>
          <w:kern w:val="0"/>
          <w:sz w:val="18"/>
          <w:szCs w:val="18"/>
        </w:rPr>
        <w:drawing>
          <wp:inline distT="0" distB="0" distL="114300" distR="114300">
            <wp:extent cx="5210175" cy="5674360"/>
            <wp:effectExtent l="0" t="0" r="0" b="0"/>
            <wp:docPr id="122"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 name="图片 43"/>
                    <pic:cNvPicPr>
                      <a:picLocks noChangeAspect="1"/>
                    </pic:cNvPicPr>
                  </pic:nvPicPr>
                  <pic:blipFill>
                    <a:blip r:embed="rId18"/>
                    <a:stretch>
                      <a:fillRect/>
                    </a:stretch>
                  </pic:blipFill>
                  <pic:spPr>
                    <a:xfrm>
                      <a:off x="0" y="0"/>
                      <a:ext cx="5210175" cy="5674360"/>
                    </a:xfrm>
                    <a:prstGeom prst="rect">
                      <a:avLst/>
                    </a:prstGeom>
                    <a:noFill/>
                    <a:ln>
                      <a:noFill/>
                    </a:ln>
                  </pic:spPr>
                </pic:pic>
              </a:graphicData>
            </a:graphic>
          </wp:inline>
        </w:drawing>
      </w:r>
    </w:p>
    <w:p>
      <w:pPr>
        <w:pStyle w:val="8"/>
        <w:numPr>
          <w:ilvl w:val="0"/>
          <w:numId w:val="0"/>
        </w:numPr>
        <w:spacing w:line="360" w:lineRule="auto"/>
        <w:jc w:val="center"/>
        <w:rPr>
          <w:rFonts w:hint="eastAsia" w:asciiTheme="minorEastAsia" w:hAnsiTheme="minorEastAsia" w:eastAsiaTheme="minorEastAsia" w:cstheme="minorEastAsia"/>
          <w:b/>
          <w:bCs/>
          <w:kern w:val="2"/>
          <w:sz w:val="21"/>
          <w:szCs w:val="21"/>
          <w:lang w:val="en-US" w:eastAsia="zh-CN" w:bidi="ar-SA"/>
        </w:rPr>
      </w:pPr>
      <w:bookmarkStart w:id="125" w:name="_Toc23442237"/>
      <w:r>
        <w:rPr>
          <w:rFonts w:hint="eastAsia" w:asciiTheme="minorEastAsia" w:hAnsiTheme="minorEastAsia" w:eastAsiaTheme="minorEastAsia" w:cstheme="minorEastAsia"/>
          <w:b/>
          <w:bCs/>
          <w:kern w:val="2"/>
          <w:sz w:val="21"/>
          <w:szCs w:val="21"/>
          <w:lang w:val="en-US" w:eastAsia="zh-CN" w:bidi="ar-SA"/>
        </w:rPr>
        <w:t>图 1-7各专业毕业生的用人单位类型分布</w:t>
      </w:r>
      <w:bookmarkEnd w:id="125"/>
    </w:p>
    <w:p>
      <w:pPr>
        <w:jc w:val="left"/>
        <w:rPr>
          <w:rFonts w:hint="eastAsia" w:asciiTheme="minorEastAsia" w:hAnsiTheme="minorEastAsia" w:eastAsiaTheme="minorEastAsia" w:cstheme="minorEastAsia"/>
          <w:color w:val="000000"/>
          <w:sz w:val="21"/>
          <w:szCs w:val="32"/>
        </w:rPr>
      </w:pPr>
      <w:r>
        <w:rPr>
          <w:rFonts w:hint="eastAsia" w:asciiTheme="minorEastAsia" w:hAnsiTheme="minorEastAsia" w:eastAsiaTheme="minorEastAsia" w:cstheme="minorEastAsia"/>
          <w:color w:val="000000"/>
          <w:sz w:val="21"/>
          <w:szCs w:val="32"/>
        </w:rPr>
        <w:t>注：个别专业由于样本较少没有包括在内。</w:t>
      </w:r>
    </w:p>
    <w:p>
      <w:pPr>
        <w:jc w:val="left"/>
        <w:rPr>
          <w:rFonts w:hint="eastAsia" w:asciiTheme="minorEastAsia" w:hAnsiTheme="minorEastAsia" w:eastAsiaTheme="minorEastAsia" w:cstheme="minorEastAsia"/>
          <w:color w:val="000000"/>
          <w:sz w:val="21"/>
          <w:szCs w:val="32"/>
        </w:rPr>
      </w:pPr>
      <w:r>
        <w:rPr>
          <w:rFonts w:hint="eastAsia" w:asciiTheme="minorEastAsia" w:hAnsiTheme="minorEastAsia" w:eastAsiaTheme="minorEastAsia" w:cstheme="minorEastAsia"/>
          <w:color w:val="000000"/>
          <w:sz w:val="21"/>
          <w:szCs w:val="32"/>
        </w:rPr>
        <w:t>数据来源：麦可思-海南外国语职业学院2019届毕业生培养质量评价数据。</w:t>
      </w:r>
    </w:p>
    <w:p>
      <w:pPr>
        <w:jc w:val="left"/>
        <w:rPr>
          <w:rFonts w:hint="eastAsia" w:asciiTheme="minorEastAsia" w:hAnsiTheme="minorEastAsia" w:eastAsiaTheme="minorEastAsia" w:cstheme="minorEastAsia"/>
          <w:color w:val="000000"/>
          <w:sz w:val="21"/>
          <w:szCs w:val="32"/>
        </w:rPr>
        <w:sectPr>
          <w:footnotePr>
            <w:numRestart w:val="eachSect"/>
          </w:footnotePr>
          <w:pgSz w:w="11906" w:h="16838"/>
          <w:pgMar w:top="1985" w:right="1531" w:bottom="1701" w:left="1701" w:header="964" w:footer="851" w:gutter="0"/>
          <w:pgNumType w:fmt="decimal"/>
          <w:cols w:space="425" w:num="1"/>
          <w:docGrid w:linePitch="312" w:charSpace="0"/>
        </w:sectPr>
      </w:pPr>
    </w:p>
    <w:p>
      <w:pPr>
        <w:jc w:val="center"/>
        <w:rPr>
          <w:rFonts w:ascii="Calibri" w:hAnsi="Calibri"/>
        </w:rPr>
      </w:pPr>
      <w:r>
        <w:rPr>
          <w:rFonts w:ascii="Calibri" w:hAnsi="Calibri"/>
        </w:rPr>
        <w:drawing>
          <wp:inline distT="0" distB="0" distL="114300" distR="114300">
            <wp:extent cx="5210175" cy="5058410"/>
            <wp:effectExtent l="0" t="0" r="0" b="0"/>
            <wp:docPr id="121"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 name="图片 44"/>
                    <pic:cNvPicPr>
                      <a:picLocks noChangeAspect="1"/>
                    </pic:cNvPicPr>
                  </pic:nvPicPr>
                  <pic:blipFill>
                    <a:blip r:embed="rId19"/>
                    <a:stretch>
                      <a:fillRect/>
                    </a:stretch>
                  </pic:blipFill>
                  <pic:spPr>
                    <a:xfrm>
                      <a:off x="0" y="0"/>
                      <a:ext cx="5210175" cy="5058410"/>
                    </a:xfrm>
                    <a:prstGeom prst="rect">
                      <a:avLst/>
                    </a:prstGeom>
                    <a:noFill/>
                    <a:ln>
                      <a:noFill/>
                    </a:ln>
                  </pic:spPr>
                </pic:pic>
              </a:graphicData>
            </a:graphic>
          </wp:inline>
        </w:drawing>
      </w:r>
    </w:p>
    <w:p>
      <w:pPr>
        <w:pStyle w:val="8"/>
        <w:numPr>
          <w:ilvl w:val="0"/>
          <w:numId w:val="0"/>
        </w:numPr>
        <w:spacing w:line="360" w:lineRule="auto"/>
        <w:jc w:val="center"/>
        <w:rPr>
          <w:rFonts w:hint="eastAsia" w:asciiTheme="minorEastAsia" w:hAnsiTheme="minorEastAsia" w:eastAsiaTheme="minorEastAsia" w:cstheme="minorEastAsia"/>
          <w:b/>
          <w:bCs/>
          <w:kern w:val="2"/>
          <w:sz w:val="21"/>
          <w:szCs w:val="21"/>
          <w:lang w:val="en-US" w:eastAsia="zh-CN" w:bidi="ar-SA"/>
        </w:rPr>
      </w:pPr>
      <w:r>
        <w:rPr>
          <w:rFonts w:hint="eastAsia" w:asciiTheme="minorEastAsia" w:hAnsiTheme="minorEastAsia" w:eastAsiaTheme="minorEastAsia" w:cstheme="minorEastAsia"/>
          <w:b/>
          <w:bCs/>
          <w:kern w:val="2"/>
          <w:sz w:val="21"/>
          <w:szCs w:val="21"/>
          <w:lang w:val="en-US" w:eastAsia="zh-CN" w:bidi="ar-SA"/>
        </w:rPr>
        <w:t>续图 1-7  各专业毕业生的用人单位类型分布</w:t>
      </w:r>
    </w:p>
    <w:p>
      <w:pPr>
        <w:jc w:val="left"/>
        <w:rPr>
          <w:rFonts w:hint="eastAsia" w:asciiTheme="minorEastAsia" w:hAnsiTheme="minorEastAsia" w:eastAsiaTheme="minorEastAsia" w:cstheme="minorEastAsia"/>
          <w:color w:val="000000"/>
          <w:sz w:val="21"/>
          <w:szCs w:val="32"/>
        </w:rPr>
      </w:pPr>
      <w:r>
        <w:rPr>
          <w:rFonts w:hint="eastAsia" w:asciiTheme="minorEastAsia" w:hAnsiTheme="minorEastAsia" w:eastAsiaTheme="minorEastAsia" w:cstheme="minorEastAsia"/>
          <w:color w:val="000000"/>
          <w:sz w:val="21"/>
          <w:szCs w:val="32"/>
        </w:rPr>
        <w:t>注：个别专业由于样本较少没有包括在内。</w:t>
      </w:r>
    </w:p>
    <w:p>
      <w:pPr>
        <w:jc w:val="left"/>
        <w:rPr>
          <w:rFonts w:hint="eastAsia" w:asciiTheme="minorEastAsia" w:hAnsiTheme="minorEastAsia" w:eastAsiaTheme="minorEastAsia" w:cstheme="minorEastAsia"/>
          <w:color w:val="000000"/>
          <w:sz w:val="21"/>
          <w:szCs w:val="32"/>
        </w:rPr>
      </w:pPr>
      <w:r>
        <w:rPr>
          <w:rFonts w:hint="eastAsia" w:asciiTheme="minorEastAsia" w:hAnsiTheme="minorEastAsia" w:eastAsiaTheme="minorEastAsia" w:cstheme="minorEastAsia"/>
          <w:color w:val="000000"/>
          <w:sz w:val="21"/>
          <w:szCs w:val="32"/>
        </w:rPr>
        <w:t>数据来源：麦可思-海南外国语职业学院2019届毕业生培养质量评价数据。</w:t>
      </w:r>
    </w:p>
    <w:p>
      <w:pPr>
        <w:jc w:val="center"/>
        <w:rPr>
          <w:rFonts w:hint="eastAsia" w:ascii="Calibri" w:hAnsi="Calibri"/>
          <w:color w:val="000000"/>
          <w:sz w:val="18"/>
        </w:rPr>
      </w:pPr>
    </w:p>
    <w:bookmarkEnd w:id="124"/>
    <w:p>
      <w:pPr>
        <w:rPr>
          <w:rFonts w:ascii="Calibri" w:hAnsi="Calibri"/>
        </w:rPr>
      </w:pPr>
    </w:p>
    <w:p>
      <w:pPr>
        <w:rPr>
          <w:rFonts w:ascii="Calibri" w:hAnsi="Calibri"/>
        </w:rPr>
      </w:pPr>
    </w:p>
    <w:p>
      <w:pPr>
        <w:rPr>
          <w:rFonts w:ascii="Calibri" w:hAnsi="Calibri"/>
        </w:rPr>
      </w:pPr>
      <w:bookmarkStart w:id="126" w:name="icb_30"/>
      <w:r>
        <w:rPr>
          <w:rFonts w:ascii="Calibri" w:hAnsi="Calibri"/>
        </w:rPr>
        <w:drawing>
          <wp:inline distT="0" distB="0" distL="114300" distR="114300">
            <wp:extent cx="5210175" cy="3581400"/>
            <wp:effectExtent l="0" t="0" r="0" b="0"/>
            <wp:docPr id="120"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图片 45"/>
                    <pic:cNvPicPr>
                      <a:picLocks noChangeAspect="1"/>
                    </pic:cNvPicPr>
                  </pic:nvPicPr>
                  <pic:blipFill>
                    <a:blip r:embed="rId20"/>
                    <a:stretch>
                      <a:fillRect/>
                    </a:stretch>
                  </pic:blipFill>
                  <pic:spPr>
                    <a:xfrm>
                      <a:off x="0" y="0"/>
                      <a:ext cx="5210175" cy="3581400"/>
                    </a:xfrm>
                    <a:prstGeom prst="rect">
                      <a:avLst/>
                    </a:prstGeom>
                    <a:noFill/>
                    <a:ln>
                      <a:noFill/>
                    </a:ln>
                  </pic:spPr>
                </pic:pic>
              </a:graphicData>
            </a:graphic>
          </wp:inline>
        </w:drawing>
      </w:r>
    </w:p>
    <w:p>
      <w:pPr>
        <w:pStyle w:val="8"/>
        <w:numPr>
          <w:ilvl w:val="0"/>
          <w:numId w:val="0"/>
        </w:numPr>
        <w:spacing w:line="360" w:lineRule="auto"/>
        <w:jc w:val="center"/>
        <w:rPr>
          <w:rFonts w:hint="eastAsia" w:asciiTheme="minorEastAsia" w:hAnsiTheme="minorEastAsia" w:eastAsiaTheme="minorEastAsia" w:cstheme="minorEastAsia"/>
          <w:b/>
          <w:bCs/>
          <w:kern w:val="2"/>
          <w:sz w:val="21"/>
          <w:szCs w:val="21"/>
          <w:lang w:val="en-US" w:eastAsia="zh-CN" w:bidi="ar-SA"/>
        </w:rPr>
      </w:pPr>
      <w:bookmarkStart w:id="127" w:name="_Toc23442238"/>
      <w:bookmarkStart w:id="128" w:name="_Toc531614190"/>
      <w:r>
        <w:rPr>
          <w:rFonts w:hint="eastAsia" w:asciiTheme="minorEastAsia" w:hAnsiTheme="minorEastAsia" w:eastAsiaTheme="minorEastAsia" w:cstheme="minorEastAsia"/>
          <w:b/>
          <w:bCs/>
          <w:kern w:val="2"/>
          <w:sz w:val="21"/>
          <w:szCs w:val="21"/>
          <w:lang w:val="en-US" w:eastAsia="zh-CN" w:bidi="ar-SA"/>
        </w:rPr>
        <w:t>图 1-8各院系毕业生的用人单位规模分布</w:t>
      </w:r>
      <w:bookmarkEnd w:id="127"/>
      <w:bookmarkEnd w:id="128"/>
    </w:p>
    <w:p>
      <w:pPr>
        <w:jc w:val="left"/>
        <w:rPr>
          <w:rFonts w:hint="eastAsia" w:asciiTheme="minorEastAsia" w:hAnsiTheme="minorEastAsia" w:eastAsiaTheme="minorEastAsia" w:cstheme="minorEastAsia"/>
          <w:color w:val="000000"/>
          <w:sz w:val="21"/>
          <w:szCs w:val="32"/>
        </w:rPr>
      </w:pPr>
      <w:r>
        <w:rPr>
          <w:rFonts w:hint="eastAsia" w:asciiTheme="minorEastAsia" w:hAnsiTheme="minorEastAsia" w:eastAsiaTheme="minorEastAsia" w:cstheme="minorEastAsia"/>
          <w:color w:val="000000"/>
          <w:sz w:val="21"/>
          <w:szCs w:val="32"/>
        </w:rPr>
        <w:t>注：个别院系由于样本较少没有包括在内。</w:t>
      </w:r>
    </w:p>
    <w:p>
      <w:pPr>
        <w:jc w:val="left"/>
        <w:rPr>
          <w:rFonts w:hint="eastAsia" w:asciiTheme="minorEastAsia" w:hAnsiTheme="minorEastAsia" w:eastAsiaTheme="minorEastAsia" w:cstheme="minorEastAsia"/>
          <w:color w:val="000000"/>
          <w:sz w:val="21"/>
          <w:szCs w:val="32"/>
        </w:rPr>
      </w:pPr>
      <w:r>
        <w:rPr>
          <w:rFonts w:hint="eastAsia" w:asciiTheme="minorEastAsia" w:hAnsiTheme="minorEastAsia" w:eastAsiaTheme="minorEastAsia" w:cstheme="minorEastAsia"/>
          <w:color w:val="000000"/>
          <w:sz w:val="21"/>
          <w:szCs w:val="32"/>
        </w:rPr>
        <w:t>数据来源：麦可思-海南外国语职业学院2019届毕业生培养质量评价数据。</w:t>
      </w:r>
    </w:p>
    <w:p>
      <w:pPr>
        <w:jc w:val="left"/>
        <w:rPr>
          <w:rFonts w:hint="eastAsia" w:asciiTheme="minorEastAsia" w:hAnsiTheme="minorEastAsia" w:eastAsiaTheme="minorEastAsia" w:cstheme="minorEastAsia"/>
          <w:color w:val="000000"/>
          <w:sz w:val="21"/>
          <w:szCs w:val="32"/>
        </w:rPr>
      </w:pPr>
    </w:p>
    <w:bookmarkEnd w:id="126"/>
    <w:p>
      <w:pPr>
        <w:pStyle w:val="6"/>
        <w:spacing w:line="240" w:lineRule="auto"/>
        <w:jc w:val="left"/>
        <w:rPr>
          <w:rFonts w:hint="eastAsia" w:ascii="Calibri" w:hAnsi="Calibri"/>
          <w:lang w:val="en-US"/>
        </w:rPr>
      </w:pPr>
    </w:p>
    <w:p>
      <w:pPr>
        <w:spacing w:line="240" w:lineRule="auto"/>
        <w:jc w:val="left"/>
        <w:rPr>
          <w:rFonts w:hint="eastAsia" w:ascii="Calibri" w:hAnsi="Calibri" w:cs="Arial"/>
          <w:kern w:val="0"/>
          <w:sz w:val="18"/>
          <w:szCs w:val="18"/>
        </w:rPr>
      </w:pPr>
    </w:p>
    <w:p>
      <w:pPr>
        <w:spacing w:line="240" w:lineRule="auto"/>
        <w:jc w:val="left"/>
        <w:rPr>
          <w:rFonts w:ascii="Calibri" w:hAnsi="Calibri" w:cs="Arial"/>
          <w:kern w:val="0"/>
          <w:sz w:val="18"/>
          <w:szCs w:val="18"/>
        </w:rPr>
      </w:pPr>
    </w:p>
    <w:p>
      <w:pPr>
        <w:spacing w:line="240" w:lineRule="auto"/>
        <w:jc w:val="left"/>
        <w:rPr>
          <w:rFonts w:hint="eastAsia" w:ascii="Calibri" w:hAnsi="Calibri" w:cs="Arial"/>
          <w:kern w:val="0"/>
          <w:sz w:val="18"/>
          <w:szCs w:val="18"/>
        </w:rPr>
      </w:pPr>
    </w:p>
    <w:p>
      <w:pPr>
        <w:spacing w:line="240" w:lineRule="auto"/>
        <w:jc w:val="left"/>
        <w:rPr>
          <w:rFonts w:hint="eastAsia" w:ascii="Calibri" w:hAnsi="Calibri" w:cs="Arial"/>
          <w:kern w:val="0"/>
          <w:sz w:val="18"/>
          <w:szCs w:val="18"/>
        </w:rPr>
      </w:pPr>
    </w:p>
    <w:p>
      <w:pPr>
        <w:spacing w:line="240" w:lineRule="auto"/>
        <w:jc w:val="left"/>
        <w:rPr>
          <w:rFonts w:hint="eastAsia" w:ascii="Calibri" w:hAnsi="Calibri" w:cs="Arial"/>
          <w:kern w:val="0"/>
          <w:sz w:val="18"/>
          <w:szCs w:val="18"/>
        </w:rPr>
      </w:pPr>
    </w:p>
    <w:p>
      <w:pPr>
        <w:jc w:val="center"/>
        <w:rPr>
          <w:rFonts w:hint="eastAsia" w:ascii="Calibri" w:hAnsi="Calibri" w:cs="Arial"/>
          <w:kern w:val="0"/>
          <w:sz w:val="18"/>
          <w:szCs w:val="18"/>
        </w:rPr>
      </w:pPr>
      <w:bookmarkStart w:id="129" w:name="icb_8006"/>
      <w:r>
        <w:rPr>
          <w:rFonts w:ascii="Calibri" w:hAnsi="Calibri" w:cs="Arial"/>
          <w:kern w:val="0"/>
          <w:sz w:val="18"/>
          <w:szCs w:val="18"/>
        </w:rPr>
        <w:drawing>
          <wp:inline distT="0" distB="0" distL="114300" distR="114300">
            <wp:extent cx="5210175" cy="5248275"/>
            <wp:effectExtent l="0" t="0" r="0" b="0"/>
            <wp:docPr id="119"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 name="图片 46"/>
                    <pic:cNvPicPr>
                      <a:picLocks noChangeAspect="1"/>
                    </pic:cNvPicPr>
                  </pic:nvPicPr>
                  <pic:blipFill>
                    <a:blip r:embed="rId21"/>
                    <a:stretch>
                      <a:fillRect/>
                    </a:stretch>
                  </pic:blipFill>
                  <pic:spPr>
                    <a:xfrm>
                      <a:off x="0" y="0"/>
                      <a:ext cx="5210175" cy="5248275"/>
                    </a:xfrm>
                    <a:prstGeom prst="rect">
                      <a:avLst/>
                    </a:prstGeom>
                    <a:noFill/>
                    <a:ln>
                      <a:noFill/>
                    </a:ln>
                  </pic:spPr>
                </pic:pic>
              </a:graphicData>
            </a:graphic>
          </wp:inline>
        </w:drawing>
      </w:r>
    </w:p>
    <w:p>
      <w:pPr>
        <w:pStyle w:val="8"/>
        <w:numPr>
          <w:ilvl w:val="0"/>
          <w:numId w:val="0"/>
        </w:numPr>
        <w:spacing w:line="360" w:lineRule="auto"/>
        <w:jc w:val="center"/>
        <w:rPr>
          <w:rFonts w:hint="eastAsia" w:asciiTheme="minorEastAsia" w:hAnsiTheme="minorEastAsia" w:eastAsiaTheme="minorEastAsia" w:cstheme="minorEastAsia"/>
          <w:b/>
          <w:bCs/>
          <w:kern w:val="2"/>
          <w:sz w:val="21"/>
          <w:szCs w:val="21"/>
          <w:lang w:val="en-US" w:eastAsia="zh-CN" w:bidi="ar-SA"/>
        </w:rPr>
      </w:pPr>
      <w:bookmarkStart w:id="130" w:name="_Toc23442239"/>
      <w:r>
        <w:rPr>
          <w:rFonts w:hint="eastAsia" w:asciiTheme="minorEastAsia" w:hAnsiTheme="minorEastAsia" w:eastAsiaTheme="minorEastAsia" w:cstheme="minorEastAsia"/>
          <w:b/>
          <w:bCs/>
          <w:kern w:val="2"/>
          <w:sz w:val="21"/>
          <w:szCs w:val="21"/>
          <w:lang w:val="en-US" w:eastAsia="zh-CN" w:bidi="ar-SA"/>
        </w:rPr>
        <w:t>图 1-9各专业毕业生的用人单位规模分布</w:t>
      </w:r>
      <w:bookmarkEnd w:id="130"/>
    </w:p>
    <w:p>
      <w:pPr>
        <w:jc w:val="left"/>
        <w:rPr>
          <w:rFonts w:hint="eastAsia" w:asciiTheme="minorEastAsia" w:hAnsiTheme="minorEastAsia" w:eastAsiaTheme="minorEastAsia" w:cstheme="minorEastAsia"/>
          <w:color w:val="000000"/>
          <w:sz w:val="21"/>
          <w:szCs w:val="32"/>
        </w:rPr>
      </w:pPr>
      <w:r>
        <w:rPr>
          <w:rFonts w:hint="eastAsia" w:asciiTheme="minorEastAsia" w:hAnsiTheme="minorEastAsia" w:eastAsiaTheme="minorEastAsia" w:cstheme="minorEastAsia"/>
          <w:color w:val="000000"/>
          <w:sz w:val="21"/>
          <w:szCs w:val="32"/>
        </w:rPr>
        <w:t>注：个别专业由于样本较少没有包括在内。</w:t>
      </w:r>
    </w:p>
    <w:p>
      <w:pPr>
        <w:jc w:val="left"/>
        <w:rPr>
          <w:rFonts w:hint="eastAsia" w:asciiTheme="minorEastAsia" w:hAnsiTheme="minorEastAsia" w:eastAsiaTheme="minorEastAsia" w:cstheme="minorEastAsia"/>
          <w:color w:val="000000"/>
          <w:sz w:val="21"/>
          <w:szCs w:val="32"/>
        </w:rPr>
      </w:pPr>
      <w:r>
        <w:rPr>
          <w:rFonts w:hint="eastAsia" w:asciiTheme="minorEastAsia" w:hAnsiTheme="minorEastAsia" w:eastAsiaTheme="minorEastAsia" w:cstheme="minorEastAsia"/>
          <w:color w:val="000000"/>
          <w:sz w:val="21"/>
          <w:szCs w:val="32"/>
        </w:rPr>
        <w:t>数据来源：麦可思-海南外国语职业学院2019届毕业生培养质量评价数据。</w:t>
      </w:r>
    </w:p>
    <w:p>
      <w:pPr>
        <w:jc w:val="left"/>
        <w:rPr>
          <w:rFonts w:hint="eastAsia" w:asciiTheme="minorEastAsia" w:hAnsiTheme="minorEastAsia" w:eastAsiaTheme="minorEastAsia" w:cstheme="minorEastAsia"/>
          <w:color w:val="000000"/>
          <w:sz w:val="21"/>
          <w:szCs w:val="32"/>
        </w:rPr>
        <w:sectPr>
          <w:footnotePr>
            <w:numRestart w:val="eachSect"/>
          </w:footnotePr>
          <w:pgSz w:w="11906" w:h="16838"/>
          <w:pgMar w:top="1985" w:right="1531" w:bottom="1701" w:left="1701" w:header="964" w:footer="851" w:gutter="0"/>
          <w:pgNumType w:fmt="decimal"/>
          <w:cols w:space="425" w:num="1"/>
          <w:docGrid w:linePitch="312" w:charSpace="0"/>
        </w:sectPr>
      </w:pPr>
    </w:p>
    <w:p>
      <w:pPr>
        <w:jc w:val="center"/>
        <w:rPr>
          <w:rFonts w:ascii="Calibri" w:hAnsi="Calibri"/>
        </w:rPr>
      </w:pPr>
      <w:r>
        <w:rPr>
          <w:rFonts w:ascii="Calibri" w:hAnsi="Calibri"/>
        </w:rPr>
        <w:drawing>
          <wp:inline distT="0" distB="0" distL="114300" distR="114300">
            <wp:extent cx="5210175" cy="4724400"/>
            <wp:effectExtent l="0" t="0" r="0" b="0"/>
            <wp:docPr id="11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 name="图片 47"/>
                    <pic:cNvPicPr>
                      <a:picLocks noChangeAspect="1"/>
                    </pic:cNvPicPr>
                  </pic:nvPicPr>
                  <pic:blipFill>
                    <a:blip r:embed="rId22"/>
                    <a:stretch>
                      <a:fillRect/>
                    </a:stretch>
                  </pic:blipFill>
                  <pic:spPr>
                    <a:xfrm>
                      <a:off x="0" y="0"/>
                      <a:ext cx="5210175" cy="4724400"/>
                    </a:xfrm>
                    <a:prstGeom prst="rect">
                      <a:avLst/>
                    </a:prstGeom>
                    <a:noFill/>
                    <a:ln>
                      <a:noFill/>
                    </a:ln>
                  </pic:spPr>
                </pic:pic>
              </a:graphicData>
            </a:graphic>
          </wp:inline>
        </w:drawing>
      </w:r>
    </w:p>
    <w:p>
      <w:pPr>
        <w:pStyle w:val="8"/>
        <w:numPr>
          <w:ilvl w:val="0"/>
          <w:numId w:val="0"/>
        </w:numPr>
        <w:spacing w:line="360" w:lineRule="auto"/>
        <w:jc w:val="center"/>
        <w:rPr>
          <w:rFonts w:hint="eastAsia" w:asciiTheme="minorEastAsia" w:hAnsiTheme="minorEastAsia" w:eastAsiaTheme="minorEastAsia" w:cstheme="minorEastAsia"/>
          <w:b/>
          <w:bCs/>
          <w:kern w:val="2"/>
          <w:sz w:val="21"/>
          <w:szCs w:val="21"/>
          <w:lang w:val="en-US" w:eastAsia="zh-CN" w:bidi="ar-SA"/>
        </w:rPr>
      </w:pPr>
      <w:r>
        <w:rPr>
          <w:rFonts w:hint="eastAsia" w:asciiTheme="minorEastAsia" w:hAnsiTheme="minorEastAsia" w:eastAsiaTheme="minorEastAsia" w:cstheme="minorEastAsia"/>
          <w:b/>
          <w:bCs/>
          <w:kern w:val="2"/>
          <w:sz w:val="21"/>
          <w:szCs w:val="21"/>
          <w:lang w:val="en-US" w:eastAsia="zh-CN" w:bidi="ar-SA"/>
        </w:rPr>
        <w:t>续图 1-9  各专业毕业生的用人单位规模分布</w:t>
      </w:r>
    </w:p>
    <w:p>
      <w:pPr>
        <w:jc w:val="left"/>
        <w:rPr>
          <w:rFonts w:hint="eastAsia" w:asciiTheme="minorEastAsia" w:hAnsiTheme="minorEastAsia" w:eastAsiaTheme="minorEastAsia" w:cstheme="minorEastAsia"/>
          <w:color w:val="000000"/>
          <w:sz w:val="21"/>
          <w:szCs w:val="32"/>
        </w:rPr>
      </w:pPr>
      <w:r>
        <w:rPr>
          <w:rFonts w:hint="eastAsia" w:asciiTheme="minorEastAsia" w:hAnsiTheme="minorEastAsia" w:eastAsiaTheme="minorEastAsia" w:cstheme="minorEastAsia"/>
          <w:color w:val="000000"/>
          <w:sz w:val="21"/>
          <w:szCs w:val="32"/>
        </w:rPr>
        <w:t>注：个别专业由于样本较少没有包括在内。</w:t>
      </w:r>
    </w:p>
    <w:p>
      <w:pPr>
        <w:jc w:val="left"/>
        <w:rPr>
          <w:rFonts w:hint="eastAsia" w:asciiTheme="minorEastAsia" w:hAnsiTheme="minorEastAsia" w:eastAsiaTheme="minorEastAsia" w:cstheme="minorEastAsia"/>
          <w:color w:val="000000"/>
          <w:sz w:val="21"/>
          <w:szCs w:val="32"/>
        </w:rPr>
      </w:pPr>
      <w:r>
        <w:rPr>
          <w:rFonts w:hint="eastAsia" w:asciiTheme="minorEastAsia" w:hAnsiTheme="minorEastAsia" w:eastAsiaTheme="minorEastAsia" w:cstheme="minorEastAsia"/>
          <w:color w:val="000000"/>
          <w:sz w:val="21"/>
          <w:szCs w:val="32"/>
        </w:rPr>
        <w:t>数据来源：麦可思-海南外国语职业学院2019届毕业生培养质量评价数据。</w:t>
      </w:r>
    </w:p>
    <w:p>
      <w:pPr>
        <w:spacing w:line="240" w:lineRule="auto"/>
        <w:jc w:val="center"/>
        <w:rPr>
          <w:rFonts w:hint="eastAsia" w:ascii="Calibri" w:hAnsi="Calibri"/>
          <w:color w:val="000000"/>
          <w:sz w:val="18"/>
        </w:rPr>
      </w:pPr>
    </w:p>
    <w:bookmarkEnd w:id="129"/>
    <w:p>
      <w:pPr>
        <w:pStyle w:val="5"/>
        <w:numPr>
          <w:ilvl w:val="0"/>
          <w:numId w:val="5"/>
        </w:numPr>
        <w:rPr>
          <w:lang w:eastAsia="zh-CN"/>
        </w:rPr>
        <w:sectPr>
          <w:footnotePr>
            <w:numRestart w:val="eachPage"/>
          </w:footnotePr>
          <w:pgSz w:w="11906" w:h="16838"/>
          <w:pgMar w:top="1985" w:right="1531" w:bottom="1701" w:left="1701" w:header="964" w:footer="851" w:gutter="0"/>
          <w:pgNumType w:fmt="decimal"/>
          <w:cols w:space="425" w:num="1"/>
          <w:docGrid w:linePitch="312" w:charSpace="0"/>
        </w:sectPr>
      </w:pPr>
      <w:bookmarkStart w:id="131" w:name="icb_100147"/>
    </w:p>
    <w:p>
      <w:pPr>
        <w:pStyle w:val="4"/>
        <w:bidi w:val="0"/>
        <w:rPr>
          <w:lang w:eastAsia="zh-CN"/>
        </w:rPr>
      </w:pPr>
      <w:bookmarkStart w:id="132" w:name="_Toc22449"/>
      <w:r>
        <w:rPr>
          <w:rFonts w:hint="eastAsia"/>
          <w:lang w:eastAsia="zh-CN"/>
        </w:rPr>
        <w:t>毕业生在中国5</w:t>
      </w:r>
      <w:r>
        <w:rPr>
          <w:lang w:eastAsia="zh-CN"/>
        </w:rPr>
        <w:t>00</w:t>
      </w:r>
      <w:r>
        <w:rPr>
          <w:rFonts w:hint="eastAsia"/>
          <w:lang w:eastAsia="zh-CN"/>
        </w:rPr>
        <w:t>强企业就业的比例</w:t>
      </w:r>
      <w:bookmarkEnd w:id="132"/>
    </w:p>
    <w:p>
      <w:pPr>
        <w:pStyle w:val="7"/>
        <w:bidi w:val="0"/>
      </w:pPr>
      <w:r>
        <w:rPr>
          <w:rFonts w:hint="eastAsia"/>
        </w:rPr>
        <w:t>本校2019届毕业生在中国5</w:t>
      </w:r>
      <w:r>
        <w:t>00</w:t>
      </w:r>
      <w:r>
        <w:rPr>
          <w:rFonts w:hint="eastAsia"/>
        </w:rPr>
        <w:t>强就业的比例为1</w:t>
      </w:r>
      <w:r>
        <w:t>1</w:t>
      </w:r>
      <w:r>
        <w:rPr>
          <w:rFonts w:hint="eastAsia"/>
        </w:rPr>
        <w:t>%。</w:t>
      </w:r>
    </w:p>
    <w:p>
      <w:pPr>
        <w:jc w:val="center"/>
      </w:pPr>
      <w:r>
        <w:drawing>
          <wp:inline distT="0" distB="0" distL="114300" distR="114300">
            <wp:extent cx="5210810" cy="2515235"/>
            <wp:effectExtent l="0" t="0" r="0" b="0"/>
            <wp:docPr id="116"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图片 48"/>
                    <pic:cNvPicPr>
                      <a:picLocks noChangeAspect="1"/>
                    </pic:cNvPicPr>
                  </pic:nvPicPr>
                  <pic:blipFill>
                    <a:blip r:embed="rId23"/>
                    <a:stretch>
                      <a:fillRect/>
                    </a:stretch>
                  </pic:blipFill>
                  <pic:spPr>
                    <a:xfrm>
                      <a:off x="0" y="0"/>
                      <a:ext cx="5210810" cy="2515235"/>
                    </a:xfrm>
                    <a:prstGeom prst="rect">
                      <a:avLst/>
                    </a:prstGeom>
                    <a:noFill/>
                    <a:ln>
                      <a:noFill/>
                    </a:ln>
                  </pic:spPr>
                </pic:pic>
              </a:graphicData>
            </a:graphic>
          </wp:inline>
        </w:drawing>
      </w:r>
    </w:p>
    <w:p>
      <w:pPr>
        <w:pStyle w:val="8"/>
        <w:numPr>
          <w:ilvl w:val="0"/>
          <w:numId w:val="0"/>
        </w:numPr>
        <w:spacing w:line="360" w:lineRule="auto"/>
        <w:jc w:val="center"/>
        <w:rPr>
          <w:rFonts w:hint="eastAsia" w:asciiTheme="minorEastAsia" w:hAnsiTheme="minorEastAsia" w:eastAsiaTheme="minorEastAsia" w:cstheme="minorEastAsia"/>
          <w:b/>
          <w:bCs/>
          <w:kern w:val="2"/>
          <w:sz w:val="21"/>
          <w:szCs w:val="21"/>
          <w:lang w:val="en-US" w:eastAsia="zh-CN" w:bidi="ar-SA"/>
        </w:rPr>
      </w:pPr>
      <w:bookmarkStart w:id="133" w:name="_Toc23442240"/>
      <w:r>
        <w:rPr>
          <w:rFonts w:hint="eastAsia" w:asciiTheme="minorEastAsia" w:hAnsiTheme="minorEastAsia" w:eastAsiaTheme="minorEastAsia" w:cstheme="minorEastAsia"/>
          <w:b/>
          <w:bCs/>
          <w:kern w:val="2"/>
          <w:sz w:val="21"/>
          <w:szCs w:val="21"/>
          <w:lang w:val="en-US" w:eastAsia="zh-CN" w:bidi="ar-SA"/>
        </w:rPr>
        <w:t>图 1-10毕业生在中国500强企业就业的比例</w:t>
      </w:r>
      <w:bookmarkEnd w:id="133"/>
    </w:p>
    <w:p>
      <w:pPr>
        <w:jc w:val="left"/>
        <w:rPr>
          <w:rFonts w:hint="eastAsia" w:asciiTheme="minorEastAsia" w:hAnsiTheme="minorEastAsia" w:eastAsiaTheme="minorEastAsia" w:cstheme="minorEastAsia"/>
          <w:color w:val="000000"/>
          <w:sz w:val="21"/>
          <w:szCs w:val="32"/>
        </w:rPr>
      </w:pPr>
      <w:r>
        <w:rPr>
          <w:rFonts w:hint="eastAsia" w:asciiTheme="minorEastAsia" w:hAnsiTheme="minorEastAsia" w:eastAsiaTheme="minorEastAsia" w:cstheme="minorEastAsia"/>
          <w:color w:val="000000"/>
          <w:sz w:val="21"/>
          <w:szCs w:val="32"/>
        </w:rPr>
        <w:t>数据来源：麦可思-海南外国语职业学院2019届毕业生培养质量评价数据。</w:t>
      </w:r>
    </w:p>
    <w:p>
      <w:pPr>
        <w:jc w:val="center"/>
        <w:rPr>
          <w:rFonts w:ascii="Calibri" w:hAnsi="Calibri" w:cs="黑体"/>
          <w:b/>
          <w:szCs w:val="21"/>
        </w:rPr>
      </w:pPr>
    </w:p>
    <w:p>
      <w:pPr>
        <w:pStyle w:val="4"/>
        <w:bidi w:val="0"/>
        <w:rPr>
          <w:rFonts w:hint="eastAsia"/>
          <w:lang w:eastAsia="zh-CN"/>
        </w:rPr>
      </w:pPr>
      <w:bookmarkStart w:id="134" w:name="_Toc29121"/>
      <w:r>
        <w:rPr>
          <w:lang w:eastAsia="zh-CN"/>
        </w:rPr>
        <w:t>各院系及专业</w:t>
      </w:r>
      <w:r>
        <w:rPr>
          <w:rFonts w:hint="eastAsia"/>
          <w:lang w:eastAsia="zh-CN"/>
        </w:rPr>
        <w:t>毕业生在中国5</w:t>
      </w:r>
      <w:r>
        <w:rPr>
          <w:lang w:eastAsia="zh-CN"/>
        </w:rPr>
        <w:t>00</w:t>
      </w:r>
      <w:r>
        <w:rPr>
          <w:rFonts w:hint="eastAsia"/>
          <w:lang w:eastAsia="zh-CN"/>
        </w:rPr>
        <w:t>强企业就业的比例</w:t>
      </w:r>
      <w:bookmarkEnd w:id="134"/>
    </w:p>
    <w:p>
      <w:pPr>
        <w:pStyle w:val="7"/>
        <w:bidi w:val="0"/>
      </w:pPr>
      <w:r>
        <w:rPr>
          <w:rFonts w:hint="eastAsia"/>
        </w:rPr>
        <w:t>本校2019届毕业生在中国5</w:t>
      </w:r>
      <w:r>
        <w:t>00</w:t>
      </w:r>
      <w:r>
        <w:rPr>
          <w:rFonts w:hint="eastAsia"/>
        </w:rPr>
        <w:t>强就业比例较高的院系为旅游系（2</w:t>
      </w:r>
      <w:r>
        <w:t>6</w:t>
      </w:r>
      <w:r>
        <w:rPr>
          <w:rFonts w:hint="eastAsia"/>
        </w:rPr>
        <w:t>%）。</w:t>
      </w:r>
    </w:p>
    <w:bookmarkEnd w:id="131"/>
    <w:p>
      <w:pPr>
        <w:spacing w:line="240" w:lineRule="auto"/>
        <w:jc w:val="center"/>
      </w:pPr>
      <w:r>
        <w:drawing>
          <wp:inline distT="0" distB="0" distL="114300" distR="114300">
            <wp:extent cx="5067935" cy="3352800"/>
            <wp:effectExtent l="0" t="0" r="0" b="0"/>
            <wp:docPr id="115"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 name="图片 49"/>
                    <pic:cNvPicPr>
                      <a:picLocks noChangeAspect="1"/>
                    </pic:cNvPicPr>
                  </pic:nvPicPr>
                  <pic:blipFill>
                    <a:blip r:embed="rId24"/>
                    <a:stretch>
                      <a:fillRect/>
                    </a:stretch>
                  </pic:blipFill>
                  <pic:spPr>
                    <a:xfrm>
                      <a:off x="0" y="0"/>
                      <a:ext cx="5067935" cy="3352800"/>
                    </a:xfrm>
                    <a:prstGeom prst="rect">
                      <a:avLst/>
                    </a:prstGeom>
                    <a:noFill/>
                    <a:ln>
                      <a:noFill/>
                    </a:ln>
                  </pic:spPr>
                </pic:pic>
              </a:graphicData>
            </a:graphic>
          </wp:inline>
        </w:drawing>
      </w:r>
    </w:p>
    <w:p>
      <w:pPr>
        <w:pStyle w:val="8"/>
        <w:numPr>
          <w:ilvl w:val="0"/>
          <w:numId w:val="0"/>
        </w:numPr>
        <w:spacing w:line="360" w:lineRule="auto"/>
        <w:jc w:val="center"/>
        <w:rPr>
          <w:rFonts w:hint="eastAsia" w:asciiTheme="minorEastAsia" w:hAnsiTheme="minorEastAsia" w:eastAsiaTheme="minorEastAsia" w:cstheme="minorEastAsia"/>
          <w:b/>
          <w:bCs/>
          <w:kern w:val="2"/>
          <w:sz w:val="21"/>
          <w:szCs w:val="21"/>
          <w:lang w:val="en-US" w:eastAsia="zh-CN" w:bidi="ar-SA"/>
        </w:rPr>
      </w:pPr>
      <w:bookmarkStart w:id="135" w:name="_Toc23442241"/>
      <w:r>
        <w:rPr>
          <w:rFonts w:hint="eastAsia" w:asciiTheme="minorEastAsia" w:hAnsiTheme="minorEastAsia" w:eastAsiaTheme="minorEastAsia" w:cstheme="minorEastAsia"/>
          <w:b/>
          <w:bCs/>
          <w:kern w:val="2"/>
          <w:sz w:val="21"/>
          <w:szCs w:val="21"/>
          <w:lang w:val="en-US" w:eastAsia="zh-CN" w:bidi="ar-SA"/>
        </w:rPr>
        <w:t>图 1-11各院系毕业生在中国500强企业就业的比例</w:t>
      </w:r>
      <w:bookmarkEnd w:id="135"/>
    </w:p>
    <w:p>
      <w:pPr>
        <w:jc w:val="left"/>
        <w:rPr>
          <w:rFonts w:hint="eastAsia" w:asciiTheme="minorEastAsia" w:hAnsiTheme="minorEastAsia" w:eastAsiaTheme="minorEastAsia" w:cstheme="minorEastAsia"/>
          <w:color w:val="000000"/>
          <w:sz w:val="21"/>
          <w:szCs w:val="32"/>
        </w:rPr>
      </w:pPr>
      <w:r>
        <w:rPr>
          <w:rFonts w:hint="eastAsia" w:asciiTheme="minorEastAsia" w:hAnsiTheme="minorEastAsia" w:eastAsiaTheme="minorEastAsia" w:cstheme="minorEastAsia"/>
          <w:color w:val="000000"/>
          <w:sz w:val="21"/>
          <w:szCs w:val="32"/>
        </w:rPr>
        <w:t>注：个别院系因样本较少没有包括在内。</w:t>
      </w:r>
    </w:p>
    <w:p>
      <w:pPr>
        <w:jc w:val="left"/>
        <w:rPr>
          <w:rFonts w:hint="eastAsia" w:asciiTheme="minorEastAsia" w:hAnsiTheme="minorEastAsia" w:eastAsiaTheme="minorEastAsia" w:cstheme="minorEastAsia"/>
          <w:color w:val="000000"/>
          <w:sz w:val="21"/>
          <w:szCs w:val="32"/>
        </w:rPr>
      </w:pPr>
      <w:r>
        <w:rPr>
          <w:rFonts w:hint="eastAsia" w:asciiTheme="minorEastAsia" w:hAnsiTheme="minorEastAsia" w:eastAsiaTheme="minorEastAsia" w:cstheme="minorEastAsia"/>
          <w:color w:val="000000"/>
          <w:sz w:val="21"/>
          <w:szCs w:val="32"/>
        </w:rPr>
        <w:t>数据来源：麦可思-海南外国语职业学院2019届毕业生培养质量评价数据。</w:t>
      </w:r>
    </w:p>
    <w:p>
      <w:pPr>
        <w:pStyle w:val="7"/>
        <w:bidi w:val="0"/>
      </w:pPr>
      <w:bookmarkStart w:id="136" w:name="icb_8002"/>
      <w:r>
        <w:rPr>
          <w:rFonts w:hint="eastAsia"/>
        </w:rPr>
        <w:t>本校2019届毕业生在中国5</w:t>
      </w:r>
      <w:r>
        <w:t>00</w:t>
      </w:r>
      <w:r>
        <w:rPr>
          <w:rFonts w:hint="eastAsia"/>
        </w:rPr>
        <w:t>强就业比例较高的专业为酒店管理（</w:t>
      </w:r>
      <w:r>
        <w:t>33</w:t>
      </w:r>
      <w:r>
        <w:rPr>
          <w:rFonts w:hint="eastAsia"/>
        </w:rPr>
        <w:t>%）、烹调工艺与营养（</w:t>
      </w:r>
      <w:r>
        <w:t>29</w:t>
      </w:r>
      <w:r>
        <w:rPr>
          <w:rFonts w:hint="eastAsia"/>
        </w:rPr>
        <w:t>%）。</w:t>
      </w:r>
    </w:p>
    <w:p>
      <w:pPr>
        <w:jc w:val="center"/>
        <w:rPr>
          <w:rFonts w:ascii="Calibri" w:hAnsi="Calibri" w:cs="黑体"/>
          <w:b/>
          <w:szCs w:val="21"/>
        </w:rPr>
      </w:pPr>
      <w:r>
        <w:drawing>
          <wp:inline distT="0" distB="0" distL="114300" distR="114300">
            <wp:extent cx="5067935" cy="5963285"/>
            <wp:effectExtent l="0" t="0" r="0" b="0"/>
            <wp:docPr id="114"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图片 50"/>
                    <pic:cNvPicPr>
                      <a:picLocks noChangeAspect="1"/>
                    </pic:cNvPicPr>
                  </pic:nvPicPr>
                  <pic:blipFill>
                    <a:blip r:embed="rId25"/>
                    <a:stretch>
                      <a:fillRect/>
                    </a:stretch>
                  </pic:blipFill>
                  <pic:spPr>
                    <a:xfrm>
                      <a:off x="0" y="0"/>
                      <a:ext cx="5067935" cy="5963285"/>
                    </a:xfrm>
                    <a:prstGeom prst="rect">
                      <a:avLst/>
                    </a:prstGeom>
                    <a:noFill/>
                    <a:ln>
                      <a:noFill/>
                    </a:ln>
                  </pic:spPr>
                </pic:pic>
              </a:graphicData>
            </a:graphic>
          </wp:inline>
        </w:drawing>
      </w:r>
    </w:p>
    <w:p>
      <w:pPr>
        <w:pStyle w:val="8"/>
        <w:numPr>
          <w:ilvl w:val="0"/>
          <w:numId w:val="0"/>
        </w:numPr>
        <w:spacing w:line="360" w:lineRule="auto"/>
        <w:jc w:val="center"/>
        <w:rPr>
          <w:rFonts w:hint="eastAsia" w:asciiTheme="minorEastAsia" w:hAnsiTheme="minorEastAsia" w:eastAsiaTheme="minorEastAsia" w:cstheme="minorEastAsia"/>
          <w:b/>
          <w:bCs/>
          <w:kern w:val="2"/>
          <w:sz w:val="21"/>
          <w:szCs w:val="21"/>
          <w:lang w:val="en-US" w:eastAsia="zh-CN" w:bidi="ar-SA"/>
        </w:rPr>
      </w:pPr>
      <w:bookmarkStart w:id="137" w:name="_Toc23442242"/>
      <w:r>
        <w:rPr>
          <w:rFonts w:hint="eastAsia" w:asciiTheme="minorEastAsia" w:hAnsiTheme="minorEastAsia" w:eastAsiaTheme="minorEastAsia" w:cstheme="minorEastAsia"/>
          <w:b/>
          <w:bCs/>
          <w:kern w:val="2"/>
          <w:sz w:val="21"/>
          <w:szCs w:val="21"/>
          <w:lang w:val="en-US" w:eastAsia="zh-CN" w:bidi="ar-SA"/>
        </w:rPr>
        <w:t>图 1-12各专业毕业生在中国500强企业就业的比例</w:t>
      </w:r>
      <w:bookmarkEnd w:id="137"/>
    </w:p>
    <w:p>
      <w:pPr>
        <w:jc w:val="left"/>
        <w:rPr>
          <w:rFonts w:hint="eastAsia" w:asciiTheme="minorEastAsia" w:hAnsiTheme="minorEastAsia" w:eastAsiaTheme="minorEastAsia" w:cstheme="minorEastAsia"/>
          <w:color w:val="000000"/>
          <w:sz w:val="21"/>
          <w:szCs w:val="32"/>
        </w:rPr>
      </w:pPr>
      <w:r>
        <w:rPr>
          <w:rFonts w:hint="eastAsia" w:asciiTheme="minorEastAsia" w:hAnsiTheme="minorEastAsia" w:eastAsiaTheme="minorEastAsia" w:cstheme="minorEastAsia"/>
          <w:color w:val="000000"/>
          <w:sz w:val="21"/>
          <w:szCs w:val="32"/>
        </w:rPr>
        <w:t>注：个别专业因样本较少没有包括在内。</w:t>
      </w:r>
    </w:p>
    <w:p>
      <w:pPr>
        <w:jc w:val="left"/>
        <w:rPr>
          <w:rFonts w:hint="eastAsia" w:asciiTheme="minorEastAsia" w:hAnsiTheme="minorEastAsia" w:eastAsiaTheme="minorEastAsia" w:cstheme="minorEastAsia"/>
          <w:color w:val="000000"/>
          <w:sz w:val="21"/>
          <w:szCs w:val="32"/>
        </w:rPr>
      </w:pPr>
      <w:r>
        <w:rPr>
          <w:rFonts w:hint="eastAsia" w:asciiTheme="minorEastAsia" w:hAnsiTheme="minorEastAsia" w:eastAsiaTheme="minorEastAsia" w:cstheme="minorEastAsia"/>
          <w:color w:val="000000"/>
          <w:sz w:val="21"/>
          <w:szCs w:val="32"/>
        </w:rPr>
        <w:t>数据来源：麦可思-海南外国语职业学院2019届毕业生培养质量评价数据。</w:t>
      </w:r>
    </w:p>
    <w:p>
      <w:pPr>
        <w:jc w:val="left"/>
      </w:pPr>
    </w:p>
    <w:bookmarkEnd w:id="136"/>
    <w:p>
      <w:pPr>
        <w:rPr>
          <w:rFonts w:ascii="Calibri" w:hAnsi="Calibri"/>
        </w:rPr>
      </w:pPr>
    </w:p>
    <w:p>
      <w:pPr>
        <w:jc w:val="left"/>
        <w:rPr>
          <w:rFonts w:ascii="Calibri" w:hAnsi="Calibri" w:cs="Calibri"/>
          <w:sz w:val="18"/>
          <w:szCs w:val="18"/>
        </w:rPr>
      </w:pPr>
    </w:p>
    <w:p>
      <w:pPr>
        <w:jc w:val="left"/>
        <w:rPr>
          <w:rFonts w:hint="eastAsia" w:ascii="Calibri" w:hAnsi="Calibri"/>
        </w:rPr>
        <w:sectPr>
          <w:footnotePr>
            <w:numRestart w:val="eachSect"/>
          </w:footnotePr>
          <w:pgSz w:w="11906" w:h="16838"/>
          <w:pgMar w:top="1985" w:right="1531" w:bottom="1701" w:left="1701" w:header="964" w:footer="851" w:gutter="0"/>
          <w:pgNumType w:fmt="decimal"/>
          <w:cols w:space="425" w:num="1"/>
          <w:docGrid w:linePitch="312" w:charSpace="0"/>
        </w:sectPr>
      </w:pPr>
    </w:p>
    <w:bookmarkEnd w:id="121"/>
    <w:p>
      <w:pPr>
        <w:pStyle w:val="4"/>
        <w:bidi w:val="0"/>
        <w:rPr>
          <w:rFonts w:hint="eastAsia"/>
        </w:rPr>
      </w:pPr>
      <w:bookmarkStart w:id="138" w:name="_Toc26727"/>
      <w:bookmarkStart w:id="139" w:name="icb_36"/>
      <w:bookmarkStart w:id="140" w:name="pb_503"/>
      <w:r>
        <w:rPr>
          <w:rFonts w:hint="eastAsia"/>
        </w:rPr>
        <w:t>就业毕业生的地区</w:t>
      </w:r>
      <w:r>
        <w:rPr>
          <w:rFonts w:hint="eastAsia"/>
          <w:lang w:eastAsia="zh-CN"/>
        </w:rPr>
        <w:t>流向</w:t>
      </w:r>
      <w:bookmarkEnd w:id="138"/>
    </w:p>
    <w:p>
      <w:pPr>
        <w:pStyle w:val="7"/>
        <w:bidi w:val="0"/>
        <w:rPr>
          <w:rFonts w:hint="eastAsia"/>
          <w:lang w:eastAsia="zh-CN"/>
        </w:rPr>
      </w:pPr>
      <w:r>
        <w:rPr>
          <w:rFonts w:hint="eastAsia"/>
          <w:lang w:eastAsia="zh-CN"/>
        </w:rPr>
        <w:t>毕业生就业地区以省内为主，本校2019届已就业的毕业生中，有半数以上（51.8%）的人在海南省内就业；毕业生就业量较大的城市为海口（22.4%）、深圳（16.0%）、三亚（13.8%）。</w:t>
      </w:r>
    </w:p>
    <w:p>
      <w:pPr>
        <w:jc w:val="center"/>
        <w:rPr>
          <w:rFonts w:hint="eastAsia" w:ascii="Calibri" w:hAnsi="Calibri"/>
        </w:rPr>
      </w:pPr>
      <w:r>
        <w:rPr>
          <w:rFonts w:ascii="Calibri" w:hAnsi="Calibri"/>
        </w:rPr>
        <w:drawing>
          <wp:inline distT="0" distB="0" distL="114300" distR="114300">
            <wp:extent cx="5362575" cy="2667000"/>
            <wp:effectExtent l="0" t="0" r="0" b="0"/>
            <wp:docPr id="118"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图片 51"/>
                    <pic:cNvPicPr>
                      <a:picLocks noChangeAspect="1"/>
                    </pic:cNvPicPr>
                  </pic:nvPicPr>
                  <pic:blipFill>
                    <a:blip r:embed="rId26"/>
                    <a:stretch>
                      <a:fillRect/>
                    </a:stretch>
                  </pic:blipFill>
                  <pic:spPr>
                    <a:xfrm>
                      <a:off x="0" y="0"/>
                      <a:ext cx="5362575" cy="2667000"/>
                    </a:xfrm>
                    <a:prstGeom prst="rect">
                      <a:avLst/>
                    </a:prstGeom>
                    <a:noFill/>
                    <a:ln>
                      <a:noFill/>
                    </a:ln>
                  </pic:spPr>
                </pic:pic>
              </a:graphicData>
            </a:graphic>
          </wp:inline>
        </w:drawing>
      </w:r>
    </w:p>
    <w:p>
      <w:pPr>
        <w:pStyle w:val="8"/>
        <w:numPr>
          <w:ilvl w:val="0"/>
          <w:numId w:val="0"/>
        </w:numPr>
        <w:spacing w:line="360" w:lineRule="auto"/>
        <w:jc w:val="center"/>
        <w:rPr>
          <w:rFonts w:hint="eastAsia" w:asciiTheme="minorEastAsia" w:hAnsiTheme="minorEastAsia" w:eastAsiaTheme="minorEastAsia" w:cstheme="minorEastAsia"/>
          <w:b/>
          <w:bCs/>
          <w:kern w:val="2"/>
          <w:sz w:val="21"/>
          <w:szCs w:val="21"/>
          <w:lang w:val="en-US" w:eastAsia="zh-CN" w:bidi="ar-SA"/>
        </w:rPr>
      </w:pPr>
      <w:bookmarkStart w:id="141" w:name="_Toc23442243"/>
      <w:r>
        <w:rPr>
          <w:rFonts w:hint="eastAsia" w:asciiTheme="minorEastAsia" w:hAnsiTheme="minorEastAsia" w:eastAsiaTheme="minorEastAsia" w:cstheme="minorEastAsia"/>
          <w:b/>
          <w:bCs/>
          <w:kern w:val="2"/>
          <w:sz w:val="21"/>
          <w:szCs w:val="21"/>
          <w:lang w:val="en-US" w:eastAsia="zh-CN" w:bidi="ar-SA"/>
        </w:rPr>
        <w:t>图 1-13毕业生在海南就业的比例</w:t>
      </w:r>
      <w:bookmarkEnd w:id="141"/>
    </w:p>
    <w:p>
      <w:pPr>
        <w:jc w:val="left"/>
        <w:rPr>
          <w:rFonts w:hint="eastAsia" w:asciiTheme="minorEastAsia" w:hAnsiTheme="minorEastAsia" w:eastAsiaTheme="minorEastAsia" w:cstheme="minorEastAsia"/>
          <w:color w:val="000000"/>
          <w:sz w:val="21"/>
          <w:szCs w:val="32"/>
        </w:rPr>
      </w:pPr>
      <w:r>
        <w:rPr>
          <w:rFonts w:hint="eastAsia" w:asciiTheme="minorEastAsia" w:hAnsiTheme="minorEastAsia" w:eastAsiaTheme="minorEastAsia" w:cstheme="minorEastAsia"/>
          <w:color w:val="000000"/>
          <w:sz w:val="21"/>
          <w:szCs w:val="32"/>
        </w:rPr>
        <w:t>数据来源：麦可思-海南外国语职业学院2019届毕业生培养质量评价数据。</w:t>
      </w:r>
    </w:p>
    <w:p>
      <w:pPr>
        <w:rPr>
          <w:rFonts w:ascii="Calibri" w:hAnsi="Calibri"/>
        </w:rPr>
      </w:pPr>
    </w:p>
    <w:bookmarkEnd w:id="139"/>
    <w:p>
      <w:pPr>
        <w:pStyle w:val="8"/>
        <w:numPr>
          <w:ilvl w:val="0"/>
          <w:numId w:val="0"/>
        </w:numPr>
        <w:spacing w:line="360" w:lineRule="auto"/>
        <w:jc w:val="center"/>
        <w:rPr>
          <w:rFonts w:hint="eastAsia" w:asciiTheme="minorEastAsia" w:hAnsiTheme="minorEastAsia" w:eastAsiaTheme="minorEastAsia" w:cstheme="minorEastAsia"/>
          <w:b/>
          <w:bCs/>
          <w:kern w:val="2"/>
          <w:sz w:val="21"/>
          <w:szCs w:val="21"/>
          <w:lang w:val="en-US" w:eastAsia="zh-CN" w:bidi="ar-SA"/>
        </w:rPr>
      </w:pPr>
      <w:bookmarkStart w:id="142" w:name="_Toc23442244"/>
      <w:bookmarkStart w:id="143" w:name="itb_161"/>
    </w:p>
    <w:p>
      <w:pPr>
        <w:pStyle w:val="8"/>
        <w:numPr>
          <w:ilvl w:val="0"/>
          <w:numId w:val="0"/>
        </w:numPr>
        <w:spacing w:line="360" w:lineRule="auto"/>
        <w:jc w:val="center"/>
        <w:rPr>
          <w:rFonts w:hint="eastAsia" w:asciiTheme="minorEastAsia" w:hAnsiTheme="minorEastAsia" w:eastAsiaTheme="minorEastAsia" w:cstheme="minorEastAsia"/>
          <w:b/>
          <w:bCs/>
          <w:kern w:val="2"/>
          <w:sz w:val="21"/>
          <w:szCs w:val="21"/>
          <w:lang w:val="en-US" w:eastAsia="zh-CN" w:bidi="ar-SA"/>
        </w:rPr>
      </w:pPr>
      <w:r>
        <w:rPr>
          <w:rFonts w:hint="eastAsia" w:asciiTheme="minorEastAsia" w:hAnsiTheme="minorEastAsia" w:eastAsiaTheme="minorEastAsia" w:cstheme="minorEastAsia"/>
          <w:b/>
          <w:bCs/>
          <w:kern w:val="2"/>
          <w:sz w:val="21"/>
          <w:szCs w:val="21"/>
          <w:lang w:val="en-US" w:eastAsia="zh-CN" w:bidi="ar-SA"/>
        </w:rPr>
        <w:t>表 1-12主要就业城市分布</w:t>
      </w:r>
      <w:bookmarkEnd w:id="142"/>
    </w:p>
    <w:tbl>
      <w:tblPr>
        <w:tblStyle w:val="14"/>
        <w:tblW w:w="8890" w:type="dxa"/>
        <w:tblInd w:w="0" w:type="dxa"/>
        <w:tblLayout w:type="fixed"/>
        <w:tblCellMar>
          <w:top w:w="0" w:type="dxa"/>
          <w:left w:w="108" w:type="dxa"/>
          <w:bottom w:w="0" w:type="dxa"/>
          <w:right w:w="108" w:type="dxa"/>
        </w:tblCellMar>
      </w:tblPr>
      <w:tblGrid>
        <w:gridCol w:w="4445"/>
        <w:gridCol w:w="4445"/>
      </w:tblGrid>
      <w:tr>
        <w:tblPrEx>
          <w:tblCellMar>
            <w:top w:w="0" w:type="dxa"/>
            <w:left w:w="108" w:type="dxa"/>
            <w:bottom w:w="0" w:type="dxa"/>
            <w:right w:w="108" w:type="dxa"/>
          </w:tblCellMar>
        </w:tblPrEx>
        <w:trPr>
          <w:trHeight w:val="270" w:hRule="atLeast"/>
          <w:tblHeader/>
        </w:trPr>
        <w:tc>
          <w:tcPr>
            <w:tcW w:w="4445" w:type="dxa"/>
            <w:tcBorders>
              <w:top w:val="nil"/>
              <w:left w:val="nil"/>
              <w:bottom w:val="nil"/>
              <w:right w:val="single" w:color="FFFFFF" w:sz="12" w:space="0"/>
            </w:tcBorders>
            <w:shd w:val="clear" w:color="000000" w:fill="2350A0"/>
            <w:noWrap/>
            <w:vAlign w:val="center"/>
          </w:tcPr>
          <w:p>
            <w:pPr>
              <w:widowControl/>
              <w:spacing w:line="320" w:lineRule="exact"/>
              <w:jc w:val="center"/>
              <w:rPr>
                <w:rFonts w:ascii="Calibri" w:hAnsi="Calibri"/>
                <w:b/>
                <w:bCs/>
                <w:color w:val="FFFFFF"/>
                <w:kern w:val="0"/>
                <w:sz w:val="20"/>
                <w:szCs w:val="20"/>
              </w:rPr>
            </w:pPr>
            <w:r>
              <w:rPr>
                <w:rFonts w:hint="eastAsia" w:ascii="Calibri" w:hAnsi="Calibri"/>
                <w:b/>
                <w:bCs/>
                <w:color w:val="FFFFFF"/>
                <w:sz w:val="20"/>
                <w:szCs w:val="20"/>
              </w:rPr>
              <w:t>就业城市</w:t>
            </w:r>
          </w:p>
        </w:tc>
        <w:tc>
          <w:tcPr>
            <w:tcW w:w="4445" w:type="dxa"/>
            <w:tcBorders>
              <w:top w:val="nil"/>
              <w:left w:val="nil"/>
              <w:bottom w:val="nil"/>
              <w:right w:val="single" w:color="FFFFFF" w:sz="12" w:space="0"/>
            </w:tcBorders>
            <w:shd w:val="clear" w:color="000000" w:fill="2350A0"/>
            <w:noWrap/>
            <w:vAlign w:val="center"/>
          </w:tcPr>
          <w:p>
            <w:pPr>
              <w:spacing w:line="320" w:lineRule="exact"/>
              <w:jc w:val="center"/>
              <w:rPr>
                <w:rFonts w:hint="eastAsia" w:ascii="Calibri" w:hAnsi="Calibri"/>
                <w:b/>
                <w:bCs/>
                <w:color w:val="FFFFFF"/>
                <w:sz w:val="20"/>
                <w:szCs w:val="20"/>
              </w:rPr>
            </w:pPr>
            <w:r>
              <w:rPr>
                <w:rFonts w:hint="eastAsia" w:ascii="Calibri" w:hAnsi="Calibri"/>
                <w:b/>
                <w:bCs/>
                <w:color w:val="FFFFFF"/>
                <w:sz w:val="20"/>
                <w:szCs w:val="20"/>
              </w:rPr>
              <w:t>占本校就业毕业生的人数百分比（%）</w:t>
            </w:r>
          </w:p>
        </w:tc>
      </w:tr>
      <w:tr>
        <w:tblPrEx>
          <w:tblCellMar>
            <w:top w:w="0" w:type="dxa"/>
            <w:left w:w="108" w:type="dxa"/>
            <w:bottom w:w="0" w:type="dxa"/>
            <w:right w:w="108" w:type="dxa"/>
          </w:tblCellMar>
        </w:tblPrEx>
        <w:trPr>
          <w:trHeight w:val="270" w:hRule="atLeast"/>
        </w:trPr>
        <w:tc>
          <w:tcPr>
            <w:tcW w:w="4445" w:type="dxa"/>
            <w:tcBorders>
              <w:top w:val="nil"/>
              <w:left w:val="nil"/>
              <w:bottom w:val="nil"/>
              <w:right w:val="nil"/>
            </w:tcBorders>
            <w:shd w:val="clear" w:color="000000" w:fill="FFFFFF"/>
            <w:noWrap/>
            <w:vAlign w:val="center"/>
          </w:tcPr>
          <w:p>
            <w:pPr>
              <w:spacing w:line="320" w:lineRule="exact"/>
              <w:jc w:val="left"/>
              <w:rPr>
                <w:rFonts w:hint="eastAsia" w:ascii="Calibri" w:hAnsi="Calibri"/>
                <w:color w:val="000000"/>
                <w:sz w:val="20"/>
                <w:szCs w:val="20"/>
              </w:rPr>
            </w:pPr>
            <w:r>
              <w:rPr>
                <w:rFonts w:hint="eastAsia" w:ascii="Calibri" w:hAnsi="Calibri"/>
                <w:color w:val="000000"/>
                <w:sz w:val="20"/>
                <w:szCs w:val="20"/>
              </w:rPr>
              <w:t>海口</w:t>
            </w:r>
          </w:p>
        </w:tc>
        <w:tc>
          <w:tcPr>
            <w:tcW w:w="4445" w:type="dxa"/>
            <w:tcBorders>
              <w:top w:val="nil"/>
              <w:left w:val="nil"/>
              <w:bottom w:val="nil"/>
              <w:right w:val="nil"/>
            </w:tcBorders>
            <w:shd w:val="clear" w:color="000000" w:fill="FFFFFF"/>
            <w:noWrap/>
            <w:vAlign w:val="center"/>
          </w:tcPr>
          <w:p>
            <w:pPr>
              <w:spacing w:line="320" w:lineRule="exact"/>
              <w:jc w:val="center"/>
              <w:rPr>
                <w:rFonts w:hint="eastAsia" w:ascii="Calibri" w:hAnsi="Calibri"/>
                <w:color w:val="000000"/>
                <w:sz w:val="20"/>
                <w:szCs w:val="20"/>
              </w:rPr>
            </w:pPr>
            <w:r>
              <w:rPr>
                <w:rFonts w:hint="eastAsia" w:ascii="Calibri" w:hAnsi="Calibri"/>
                <w:color w:val="000000"/>
                <w:sz w:val="20"/>
                <w:szCs w:val="20"/>
              </w:rPr>
              <w:t>22.4</w:t>
            </w:r>
          </w:p>
        </w:tc>
      </w:tr>
      <w:tr>
        <w:tblPrEx>
          <w:tblCellMar>
            <w:top w:w="0" w:type="dxa"/>
            <w:left w:w="108" w:type="dxa"/>
            <w:bottom w:w="0" w:type="dxa"/>
            <w:right w:w="108" w:type="dxa"/>
          </w:tblCellMar>
        </w:tblPrEx>
        <w:trPr>
          <w:trHeight w:val="270" w:hRule="atLeast"/>
        </w:trPr>
        <w:tc>
          <w:tcPr>
            <w:tcW w:w="4445" w:type="dxa"/>
            <w:tcBorders>
              <w:top w:val="nil"/>
              <w:left w:val="nil"/>
              <w:bottom w:val="nil"/>
              <w:right w:val="nil"/>
            </w:tcBorders>
            <w:shd w:val="clear" w:color="000000" w:fill="BEEDF8"/>
            <w:noWrap/>
            <w:vAlign w:val="center"/>
          </w:tcPr>
          <w:p>
            <w:pPr>
              <w:spacing w:line="320" w:lineRule="exact"/>
              <w:jc w:val="left"/>
              <w:rPr>
                <w:rFonts w:hint="eastAsia" w:ascii="Calibri" w:hAnsi="Calibri"/>
                <w:color w:val="000000"/>
                <w:sz w:val="20"/>
                <w:szCs w:val="20"/>
              </w:rPr>
            </w:pPr>
            <w:r>
              <w:rPr>
                <w:rFonts w:hint="eastAsia" w:ascii="Calibri" w:hAnsi="Calibri"/>
                <w:color w:val="000000"/>
                <w:sz w:val="20"/>
                <w:szCs w:val="20"/>
              </w:rPr>
              <w:t>深圳</w:t>
            </w:r>
          </w:p>
        </w:tc>
        <w:tc>
          <w:tcPr>
            <w:tcW w:w="4445" w:type="dxa"/>
            <w:tcBorders>
              <w:top w:val="nil"/>
              <w:left w:val="nil"/>
              <w:bottom w:val="nil"/>
              <w:right w:val="nil"/>
            </w:tcBorders>
            <w:shd w:val="clear" w:color="000000" w:fill="BEEDF8"/>
            <w:noWrap/>
            <w:vAlign w:val="center"/>
          </w:tcPr>
          <w:p>
            <w:pPr>
              <w:spacing w:line="320" w:lineRule="exact"/>
              <w:jc w:val="center"/>
              <w:rPr>
                <w:rFonts w:hint="eastAsia" w:ascii="Calibri" w:hAnsi="Calibri"/>
                <w:color w:val="000000"/>
                <w:sz w:val="20"/>
                <w:szCs w:val="20"/>
              </w:rPr>
            </w:pPr>
            <w:r>
              <w:rPr>
                <w:rFonts w:hint="eastAsia" w:ascii="Calibri" w:hAnsi="Calibri"/>
                <w:color w:val="000000"/>
                <w:sz w:val="20"/>
                <w:szCs w:val="20"/>
              </w:rPr>
              <w:t>16.0</w:t>
            </w:r>
          </w:p>
        </w:tc>
      </w:tr>
      <w:tr>
        <w:tblPrEx>
          <w:tblCellMar>
            <w:top w:w="0" w:type="dxa"/>
            <w:left w:w="108" w:type="dxa"/>
            <w:bottom w:w="0" w:type="dxa"/>
            <w:right w:w="108" w:type="dxa"/>
          </w:tblCellMar>
        </w:tblPrEx>
        <w:trPr>
          <w:trHeight w:val="270" w:hRule="atLeast"/>
        </w:trPr>
        <w:tc>
          <w:tcPr>
            <w:tcW w:w="4445" w:type="dxa"/>
            <w:tcBorders>
              <w:top w:val="nil"/>
              <w:left w:val="nil"/>
              <w:bottom w:val="nil"/>
              <w:right w:val="nil"/>
            </w:tcBorders>
            <w:shd w:val="clear" w:color="000000" w:fill="FFFFFF"/>
            <w:noWrap/>
            <w:vAlign w:val="center"/>
          </w:tcPr>
          <w:p>
            <w:pPr>
              <w:spacing w:line="320" w:lineRule="exact"/>
              <w:jc w:val="left"/>
              <w:rPr>
                <w:rFonts w:hint="eastAsia" w:ascii="Calibri" w:hAnsi="Calibri"/>
                <w:color w:val="000000"/>
                <w:sz w:val="20"/>
                <w:szCs w:val="20"/>
              </w:rPr>
            </w:pPr>
            <w:r>
              <w:rPr>
                <w:rFonts w:hint="eastAsia" w:ascii="Calibri" w:hAnsi="Calibri"/>
                <w:color w:val="000000"/>
                <w:sz w:val="20"/>
                <w:szCs w:val="20"/>
              </w:rPr>
              <w:t>三亚</w:t>
            </w:r>
          </w:p>
        </w:tc>
        <w:tc>
          <w:tcPr>
            <w:tcW w:w="4445" w:type="dxa"/>
            <w:tcBorders>
              <w:top w:val="nil"/>
              <w:left w:val="nil"/>
              <w:bottom w:val="nil"/>
              <w:right w:val="nil"/>
            </w:tcBorders>
            <w:shd w:val="clear" w:color="000000" w:fill="FFFFFF"/>
            <w:noWrap/>
            <w:vAlign w:val="center"/>
          </w:tcPr>
          <w:p>
            <w:pPr>
              <w:spacing w:line="320" w:lineRule="exact"/>
              <w:jc w:val="center"/>
              <w:rPr>
                <w:rFonts w:hint="eastAsia" w:ascii="Calibri" w:hAnsi="Calibri"/>
                <w:color w:val="000000"/>
                <w:sz w:val="20"/>
                <w:szCs w:val="20"/>
              </w:rPr>
            </w:pPr>
            <w:r>
              <w:rPr>
                <w:rFonts w:hint="eastAsia" w:ascii="Calibri" w:hAnsi="Calibri"/>
                <w:color w:val="000000"/>
                <w:sz w:val="20"/>
                <w:szCs w:val="20"/>
              </w:rPr>
              <w:t>13.8</w:t>
            </w:r>
          </w:p>
        </w:tc>
      </w:tr>
      <w:tr>
        <w:tblPrEx>
          <w:tblCellMar>
            <w:top w:w="0" w:type="dxa"/>
            <w:left w:w="108" w:type="dxa"/>
            <w:bottom w:w="0" w:type="dxa"/>
            <w:right w:w="108" w:type="dxa"/>
          </w:tblCellMar>
        </w:tblPrEx>
        <w:trPr>
          <w:trHeight w:val="270" w:hRule="atLeast"/>
        </w:trPr>
        <w:tc>
          <w:tcPr>
            <w:tcW w:w="4445" w:type="dxa"/>
            <w:tcBorders>
              <w:top w:val="nil"/>
              <w:left w:val="nil"/>
              <w:bottom w:val="nil"/>
              <w:right w:val="nil"/>
            </w:tcBorders>
            <w:shd w:val="clear" w:color="000000" w:fill="BEEDF8"/>
            <w:noWrap/>
            <w:vAlign w:val="center"/>
          </w:tcPr>
          <w:p>
            <w:pPr>
              <w:spacing w:line="320" w:lineRule="exact"/>
              <w:jc w:val="left"/>
              <w:rPr>
                <w:rFonts w:hint="eastAsia" w:ascii="Calibri" w:hAnsi="Calibri"/>
                <w:color w:val="000000"/>
                <w:sz w:val="20"/>
                <w:szCs w:val="20"/>
              </w:rPr>
            </w:pPr>
            <w:r>
              <w:rPr>
                <w:rFonts w:hint="eastAsia" w:ascii="Calibri" w:hAnsi="Calibri"/>
                <w:color w:val="000000"/>
                <w:sz w:val="20"/>
                <w:szCs w:val="20"/>
              </w:rPr>
              <w:t>广州</w:t>
            </w:r>
          </w:p>
        </w:tc>
        <w:tc>
          <w:tcPr>
            <w:tcW w:w="4445" w:type="dxa"/>
            <w:tcBorders>
              <w:top w:val="nil"/>
              <w:left w:val="nil"/>
              <w:bottom w:val="nil"/>
              <w:right w:val="nil"/>
            </w:tcBorders>
            <w:shd w:val="clear" w:color="000000" w:fill="BEEDF8"/>
            <w:noWrap/>
            <w:vAlign w:val="center"/>
          </w:tcPr>
          <w:p>
            <w:pPr>
              <w:spacing w:line="320" w:lineRule="exact"/>
              <w:jc w:val="center"/>
              <w:rPr>
                <w:rFonts w:hint="eastAsia" w:ascii="Calibri" w:hAnsi="Calibri"/>
                <w:color w:val="000000"/>
                <w:sz w:val="20"/>
                <w:szCs w:val="20"/>
              </w:rPr>
            </w:pPr>
            <w:r>
              <w:rPr>
                <w:rFonts w:hint="eastAsia" w:ascii="Calibri" w:hAnsi="Calibri"/>
                <w:color w:val="000000"/>
                <w:sz w:val="20"/>
                <w:szCs w:val="20"/>
              </w:rPr>
              <w:t>8.9</w:t>
            </w:r>
          </w:p>
        </w:tc>
      </w:tr>
      <w:tr>
        <w:tblPrEx>
          <w:tblCellMar>
            <w:top w:w="0" w:type="dxa"/>
            <w:left w:w="108" w:type="dxa"/>
            <w:bottom w:w="0" w:type="dxa"/>
            <w:right w:w="108" w:type="dxa"/>
          </w:tblCellMar>
        </w:tblPrEx>
        <w:trPr>
          <w:trHeight w:val="285" w:hRule="atLeast"/>
        </w:trPr>
        <w:tc>
          <w:tcPr>
            <w:tcW w:w="4445" w:type="dxa"/>
            <w:tcBorders>
              <w:top w:val="nil"/>
              <w:left w:val="nil"/>
              <w:bottom w:val="single" w:color="57B8E7" w:sz="12" w:space="0"/>
              <w:right w:val="nil"/>
            </w:tcBorders>
            <w:shd w:val="clear" w:color="000000" w:fill="FFFFFF"/>
            <w:noWrap/>
            <w:vAlign w:val="center"/>
          </w:tcPr>
          <w:p>
            <w:pPr>
              <w:spacing w:line="320" w:lineRule="exact"/>
              <w:jc w:val="left"/>
              <w:rPr>
                <w:rFonts w:hint="eastAsia" w:ascii="Calibri" w:hAnsi="Calibri"/>
                <w:color w:val="000000"/>
                <w:sz w:val="20"/>
                <w:szCs w:val="20"/>
              </w:rPr>
            </w:pPr>
            <w:r>
              <w:rPr>
                <w:rFonts w:hint="eastAsia" w:ascii="Calibri" w:hAnsi="Calibri"/>
                <w:color w:val="000000"/>
                <w:sz w:val="20"/>
                <w:szCs w:val="20"/>
              </w:rPr>
              <w:t>上海</w:t>
            </w:r>
          </w:p>
        </w:tc>
        <w:tc>
          <w:tcPr>
            <w:tcW w:w="4445" w:type="dxa"/>
            <w:tcBorders>
              <w:top w:val="nil"/>
              <w:left w:val="nil"/>
              <w:bottom w:val="single" w:color="57B8E7" w:sz="12" w:space="0"/>
              <w:right w:val="nil"/>
            </w:tcBorders>
            <w:shd w:val="clear" w:color="000000" w:fill="FFFFFF"/>
            <w:noWrap/>
            <w:vAlign w:val="center"/>
          </w:tcPr>
          <w:p>
            <w:pPr>
              <w:spacing w:line="320" w:lineRule="exact"/>
              <w:jc w:val="center"/>
              <w:rPr>
                <w:rFonts w:hint="eastAsia" w:ascii="Calibri" w:hAnsi="Calibri"/>
                <w:color w:val="000000"/>
                <w:sz w:val="20"/>
                <w:szCs w:val="20"/>
              </w:rPr>
            </w:pPr>
            <w:r>
              <w:rPr>
                <w:rFonts w:hint="eastAsia" w:ascii="Calibri" w:hAnsi="Calibri"/>
                <w:color w:val="000000"/>
                <w:sz w:val="20"/>
                <w:szCs w:val="20"/>
              </w:rPr>
              <w:t>4.2</w:t>
            </w:r>
          </w:p>
        </w:tc>
      </w:tr>
    </w:tbl>
    <w:p>
      <w:pPr>
        <w:jc w:val="left"/>
        <w:rPr>
          <w:rFonts w:hint="eastAsia" w:asciiTheme="minorEastAsia" w:hAnsiTheme="minorEastAsia" w:eastAsiaTheme="minorEastAsia" w:cstheme="minorEastAsia"/>
          <w:color w:val="000000"/>
          <w:sz w:val="21"/>
          <w:szCs w:val="32"/>
        </w:rPr>
      </w:pPr>
      <w:r>
        <w:rPr>
          <w:rFonts w:hint="eastAsia" w:asciiTheme="minorEastAsia" w:hAnsiTheme="minorEastAsia" w:eastAsiaTheme="minorEastAsia" w:cstheme="minorEastAsia"/>
          <w:color w:val="000000"/>
          <w:sz w:val="21"/>
          <w:szCs w:val="32"/>
        </w:rPr>
        <w:t>数据来源：麦可思-海南外国语职业学院2019届毕业生培养质量评价数据。</w:t>
      </w:r>
    </w:p>
    <w:p>
      <w:pPr>
        <w:jc w:val="left"/>
        <w:rPr>
          <w:rFonts w:hint="eastAsia" w:asciiTheme="minorEastAsia" w:hAnsiTheme="minorEastAsia" w:eastAsiaTheme="minorEastAsia" w:cstheme="minorEastAsia"/>
          <w:color w:val="000000"/>
          <w:sz w:val="21"/>
          <w:szCs w:val="32"/>
        </w:rPr>
      </w:pPr>
    </w:p>
    <w:bookmarkEnd w:id="143"/>
    <w:p>
      <w:pPr>
        <w:spacing w:line="240" w:lineRule="auto"/>
        <w:jc w:val="left"/>
        <w:rPr>
          <w:rFonts w:hint="eastAsia" w:ascii="Calibri" w:hAnsi="Calibri" w:cs="Calibri"/>
          <w:sz w:val="18"/>
          <w:szCs w:val="18"/>
        </w:rPr>
      </w:pPr>
    </w:p>
    <w:p>
      <w:pPr>
        <w:widowControl/>
        <w:spacing w:line="240" w:lineRule="auto"/>
        <w:jc w:val="left"/>
        <w:rPr>
          <w:rFonts w:hint="eastAsia" w:ascii="Calibri" w:hAnsi="Calibri" w:cs="Arial"/>
          <w:kern w:val="0"/>
          <w:sz w:val="18"/>
          <w:szCs w:val="18"/>
        </w:rPr>
      </w:pPr>
    </w:p>
    <w:bookmarkEnd w:id="140"/>
    <w:p>
      <w:pPr>
        <w:spacing w:line="240" w:lineRule="auto"/>
        <w:jc w:val="left"/>
        <w:rPr>
          <w:rFonts w:hint="eastAsia" w:ascii="Calibri" w:hAnsi="Calibri" w:cs="Arial"/>
          <w:kern w:val="0"/>
          <w:sz w:val="18"/>
          <w:szCs w:val="18"/>
        </w:rPr>
      </w:pPr>
    </w:p>
    <w:p>
      <w:pPr>
        <w:rPr>
          <w:rFonts w:ascii="Calibri" w:hAnsi="Calibri"/>
        </w:rPr>
        <w:sectPr>
          <w:footnotePr>
            <w:numRestart w:val="eachSect"/>
          </w:footnotePr>
          <w:pgSz w:w="11906" w:h="16838"/>
          <w:pgMar w:top="1985" w:right="1531" w:bottom="1701" w:left="1701" w:header="964" w:footer="851" w:gutter="0"/>
          <w:pgNumType w:fmt="decimal"/>
          <w:cols w:space="425" w:num="1"/>
          <w:docGrid w:linePitch="312" w:charSpace="0"/>
        </w:sectPr>
      </w:pPr>
    </w:p>
    <w:p>
      <w:pPr>
        <w:pStyle w:val="3"/>
        <w:bidi w:val="0"/>
        <w:ind w:left="0" w:leftChars="0" w:firstLine="0" w:firstLineChars="0"/>
        <w:rPr>
          <w:rFonts w:hint="eastAsia"/>
        </w:rPr>
      </w:pPr>
      <w:bookmarkStart w:id="144" w:name="_Toc31653"/>
      <w:bookmarkStart w:id="145" w:name="_Toc23434174"/>
      <w:r>
        <w:rPr>
          <w:rFonts w:hint="eastAsia"/>
        </w:rPr>
        <w:t>毕业生的升学情况</w:t>
      </w:r>
      <w:bookmarkEnd w:id="144"/>
      <w:bookmarkEnd w:id="145"/>
    </w:p>
    <w:p>
      <w:pPr>
        <w:pStyle w:val="4"/>
        <w:bidi w:val="0"/>
        <w:rPr>
          <w:rFonts w:hint="eastAsia"/>
        </w:rPr>
      </w:pPr>
      <w:bookmarkStart w:id="146" w:name="_Toc19278"/>
      <w:bookmarkStart w:id="147" w:name="icb_37"/>
      <w:bookmarkStart w:id="148" w:name="pb_504"/>
      <w:r>
        <w:rPr>
          <w:rFonts w:hint="eastAsia"/>
        </w:rPr>
        <w:t>毕业生的升学比例</w:t>
      </w:r>
      <w:bookmarkEnd w:id="146"/>
    </w:p>
    <w:p>
      <w:pPr>
        <w:pStyle w:val="7"/>
        <w:bidi w:val="0"/>
        <w:rPr>
          <w:rFonts w:hint="eastAsia"/>
          <w:lang w:eastAsia="zh-CN"/>
        </w:rPr>
      </w:pPr>
      <w:r>
        <w:rPr>
          <w:rFonts w:hint="eastAsia"/>
          <w:lang w:eastAsia="zh-CN"/>
        </w:rPr>
        <w:t>本校2019届毕业生的升学比例为</w:t>
      </w:r>
      <w:r>
        <w:rPr>
          <w:lang w:eastAsia="zh-CN"/>
        </w:rPr>
        <w:t>14.0</w:t>
      </w:r>
      <w:r>
        <w:rPr>
          <w:rFonts w:hint="eastAsia"/>
          <w:lang w:eastAsia="zh-CN"/>
        </w:rPr>
        <w:t>%。</w:t>
      </w:r>
    </w:p>
    <w:p>
      <w:pPr>
        <w:jc w:val="center"/>
        <w:rPr>
          <w:rFonts w:ascii="Calibri" w:hAnsi="Calibri"/>
        </w:rPr>
      </w:pPr>
      <w:r>
        <w:rPr>
          <w:rFonts w:ascii="Calibri" w:hAnsi="Calibri"/>
        </w:rPr>
        <w:drawing>
          <wp:inline distT="0" distB="0" distL="114300" distR="114300">
            <wp:extent cx="5220335" cy="2515235"/>
            <wp:effectExtent l="0" t="0" r="0" b="0"/>
            <wp:docPr id="113"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 name="图片 52"/>
                    <pic:cNvPicPr>
                      <a:picLocks noChangeAspect="1"/>
                    </pic:cNvPicPr>
                  </pic:nvPicPr>
                  <pic:blipFill>
                    <a:blip r:embed="rId27"/>
                    <a:stretch>
                      <a:fillRect/>
                    </a:stretch>
                  </pic:blipFill>
                  <pic:spPr>
                    <a:xfrm>
                      <a:off x="0" y="0"/>
                      <a:ext cx="5220335" cy="2515235"/>
                    </a:xfrm>
                    <a:prstGeom prst="rect">
                      <a:avLst/>
                    </a:prstGeom>
                    <a:noFill/>
                    <a:ln>
                      <a:noFill/>
                    </a:ln>
                  </pic:spPr>
                </pic:pic>
              </a:graphicData>
            </a:graphic>
          </wp:inline>
        </w:drawing>
      </w:r>
    </w:p>
    <w:p>
      <w:pPr>
        <w:pStyle w:val="8"/>
        <w:numPr>
          <w:ilvl w:val="0"/>
          <w:numId w:val="0"/>
        </w:numPr>
        <w:spacing w:line="360" w:lineRule="auto"/>
        <w:jc w:val="center"/>
        <w:rPr>
          <w:rFonts w:hint="eastAsia" w:asciiTheme="minorEastAsia" w:hAnsiTheme="minorEastAsia" w:eastAsiaTheme="minorEastAsia" w:cstheme="minorEastAsia"/>
          <w:b/>
          <w:bCs/>
          <w:kern w:val="2"/>
          <w:sz w:val="21"/>
          <w:szCs w:val="21"/>
          <w:lang w:val="en-US" w:eastAsia="zh-CN" w:bidi="ar-SA"/>
        </w:rPr>
      </w:pPr>
      <w:bookmarkStart w:id="149" w:name="_Toc531614199"/>
      <w:bookmarkStart w:id="150" w:name="_Toc23442245"/>
      <w:r>
        <w:rPr>
          <w:rFonts w:hint="eastAsia" w:asciiTheme="minorEastAsia" w:hAnsiTheme="minorEastAsia" w:eastAsiaTheme="minorEastAsia" w:cstheme="minorEastAsia"/>
          <w:b/>
          <w:bCs/>
          <w:kern w:val="2"/>
          <w:sz w:val="21"/>
          <w:szCs w:val="21"/>
          <w:lang w:val="en-US" w:eastAsia="zh-CN" w:bidi="ar-SA"/>
        </w:rPr>
        <w:t>图 1-14毕业生的升学比例</w:t>
      </w:r>
      <w:bookmarkEnd w:id="149"/>
      <w:bookmarkEnd w:id="150"/>
    </w:p>
    <w:p>
      <w:pPr>
        <w:jc w:val="left"/>
        <w:rPr>
          <w:rFonts w:hint="eastAsia" w:asciiTheme="minorEastAsia" w:hAnsiTheme="minorEastAsia" w:eastAsiaTheme="minorEastAsia" w:cstheme="minorEastAsia"/>
          <w:color w:val="000000"/>
          <w:sz w:val="21"/>
          <w:szCs w:val="32"/>
        </w:rPr>
      </w:pPr>
      <w:r>
        <w:rPr>
          <w:rFonts w:hint="eastAsia" w:asciiTheme="minorEastAsia" w:hAnsiTheme="minorEastAsia" w:eastAsiaTheme="minorEastAsia" w:cstheme="minorEastAsia"/>
          <w:color w:val="000000"/>
          <w:sz w:val="21"/>
          <w:szCs w:val="32"/>
        </w:rPr>
        <w:t>数据来源：海南外国语职业学院数据。</w:t>
      </w:r>
    </w:p>
    <w:bookmarkEnd w:id="147"/>
    <w:p>
      <w:pPr>
        <w:jc w:val="left"/>
        <w:rPr>
          <w:rFonts w:hint="eastAsia" w:asciiTheme="minorEastAsia" w:hAnsiTheme="minorEastAsia" w:eastAsiaTheme="minorEastAsia" w:cstheme="minorEastAsia"/>
          <w:color w:val="000000"/>
          <w:sz w:val="21"/>
          <w:szCs w:val="32"/>
        </w:rPr>
        <w:sectPr>
          <w:footnotePr>
            <w:numRestart w:val="eachSect"/>
          </w:footnotePr>
          <w:pgSz w:w="11906" w:h="16838"/>
          <w:pgMar w:top="1985" w:right="1531" w:bottom="1701" w:left="1701" w:header="964" w:footer="851" w:gutter="0"/>
          <w:pgNumType w:fmt="decimal"/>
          <w:cols w:space="425" w:num="1"/>
          <w:docGrid w:linePitch="312" w:charSpace="0"/>
        </w:sectPr>
      </w:pPr>
    </w:p>
    <w:bookmarkEnd w:id="148"/>
    <w:p>
      <w:pPr>
        <w:pStyle w:val="4"/>
        <w:bidi w:val="0"/>
        <w:ind w:left="0" w:leftChars="0" w:firstLine="400" w:firstLineChars="0"/>
      </w:pPr>
      <w:bookmarkStart w:id="151" w:name="_Toc13146"/>
      <w:bookmarkStart w:id="152" w:name="icb_8007"/>
      <w:r>
        <w:rPr>
          <w:rFonts w:hint="eastAsia"/>
        </w:rPr>
        <w:t>各院系及专业的升学比例</w:t>
      </w:r>
      <w:bookmarkEnd w:id="151"/>
    </w:p>
    <w:p>
      <w:pPr>
        <w:pStyle w:val="7"/>
        <w:bidi w:val="0"/>
        <w:rPr>
          <w:rFonts w:hint="eastAsia"/>
          <w:lang w:eastAsia="zh-CN"/>
        </w:rPr>
      </w:pPr>
      <w:r>
        <w:rPr>
          <w:rFonts w:hint="eastAsia"/>
          <w:lang w:eastAsia="zh-CN"/>
        </w:rPr>
        <w:t>本校2019届各院系毕业生中，升学比例较高的院系为国际商务系（28.4%）</w:t>
      </w:r>
    </w:p>
    <w:p>
      <w:pPr>
        <w:jc w:val="center"/>
        <w:rPr>
          <w:rFonts w:hint="eastAsia" w:ascii="Calibri" w:hAnsi="Calibri"/>
        </w:rPr>
      </w:pPr>
      <w:r>
        <w:rPr>
          <w:rFonts w:ascii="Calibri" w:hAnsi="Calibri"/>
        </w:rPr>
        <w:drawing>
          <wp:inline distT="0" distB="0" distL="114300" distR="114300">
            <wp:extent cx="5067935" cy="3924935"/>
            <wp:effectExtent l="0" t="0" r="0" b="0"/>
            <wp:docPr id="112"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图片 53"/>
                    <pic:cNvPicPr>
                      <a:picLocks noChangeAspect="1"/>
                    </pic:cNvPicPr>
                  </pic:nvPicPr>
                  <pic:blipFill>
                    <a:blip r:embed="rId28"/>
                    <a:stretch>
                      <a:fillRect/>
                    </a:stretch>
                  </pic:blipFill>
                  <pic:spPr>
                    <a:xfrm>
                      <a:off x="0" y="0"/>
                      <a:ext cx="5067935" cy="3924935"/>
                    </a:xfrm>
                    <a:prstGeom prst="rect">
                      <a:avLst/>
                    </a:prstGeom>
                    <a:noFill/>
                    <a:ln>
                      <a:noFill/>
                    </a:ln>
                  </pic:spPr>
                </pic:pic>
              </a:graphicData>
            </a:graphic>
          </wp:inline>
        </w:drawing>
      </w:r>
    </w:p>
    <w:p>
      <w:pPr>
        <w:pStyle w:val="8"/>
        <w:numPr>
          <w:ilvl w:val="0"/>
          <w:numId w:val="0"/>
        </w:numPr>
        <w:spacing w:line="360" w:lineRule="auto"/>
        <w:jc w:val="center"/>
        <w:rPr>
          <w:rFonts w:hint="eastAsia" w:asciiTheme="minorEastAsia" w:hAnsiTheme="minorEastAsia" w:eastAsiaTheme="minorEastAsia" w:cstheme="minorEastAsia"/>
          <w:b/>
          <w:bCs/>
          <w:kern w:val="2"/>
          <w:sz w:val="21"/>
          <w:szCs w:val="21"/>
          <w:lang w:val="en-US" w:eastAsia="zh-CN" w:bidi="ar-SA"/>
        </w:rPr>
      </w:pPr>
      <w:bookmarkStart w:id="153" w:name="_Toc23442246"/>
      <w:r>
        <w:rPr>
          <w:rFonts w:hint="eastAsia" w:asciiTheme="minorEastAsia" w:hAnsiTheme="minorEastAsia" w:eastAsiaTheme="minorEastAsia" w:cstheme="minorEastAsia"/>
          <w:b/>
          <w:bCs/>
          <w:kern w:val="2"/>
          <w:sz w:val="21"/>
          <w:szCs w:val="21"/>
          <w:lang w:val="en-US" w:eastAsia="zh-CN" w:bidi="ar-SA"/>
        </w:rPr>
        <w:t>图 1-15各院系毕业生的升学比例</w:t>
      </w:r>
      <w:bookmarkEnd w:id="153"/>
    </w:p>
    <w:p>
      <w:pPr>
        <w:jc w:val="left"/>
        <w:rPr>
          <w:rFonts w:hint="eastAsia" w:asciiTheme="minorEastAsia" w:hAnsiTheme="minorEastAsia" w:eastAsiaTheme="minorEastAsia" w:cstheme="minorEastAsia"/>
          <w:color w:val="000000"/>
          <w:sz w:val="21"/>
          <w:szCs w:val="32"/>
        </w:rPr>
        <w:sectPr>
          <w:footnotePr>
            <w:numRestart w:val="eachPage"/>
          </w:footnotePr>
          <w:pgSz w:w="11906" w:h="16838"/>
          <w:pgMar w:top="1985" w:right="1531" w:bottom="1701" w:left="1701" w:header="964" w:footer="851" w:gutter="0"/>
          <w:pgNumType w:fmt="decimal"/>
          <w:cols w:space="425" w:num="1"/>
          <w:docGrid w:linePitch="312" w:charSpace="0"/>
        </w:sectPr>
      </w:pPr>
      <w:r>
        <w:rPr>
          <w:rFonts w:hint="eastAsia" w:asciiTheme="minorEastAsia" w:hAnsiTheme="minorEastAsia" w:eastAsiaTheme="minorEastAsia" w:cstheme="minorEastAsia"/>
          <w:color w:val="000000"/>
          <w:sz w:val="21"/>
          <w:szCs w:val="32"/>
        </w:rPr>
        <w:t>数据来源：海南外国语职业学院数据</w:t>
      </w:r>
      <w:bookmarkEnd w:id="152"/>
      <w:r>
        <w:rPr>
          <w:rFonts w:hint="eastAsia" w:asciiTheme="minorEastAsia" w:hAnsiTheme="minorEastAsia" w:eastAsiaTheme="minorEastAsia" w:cstheme="minorEastAsia"/>
          <w:color w:val="000000"/>
          <w:sz w:val="21"/>
          <w:szCs w:val="32"/>
          <w:lang w:eastAsia="zh-CN"/>
        </w:rPr>
        <w:t>。</w:t>
      </w:r>
      <w:bookmarkStart w:id="154" w:name="续各院系毕业生的用人单位类型分布_1"/>
      <w:bookmarkEnd w:id="154"/>
      <w:bookmarkStart w:id="155" w:name="各专业用人单位类型"/>
      <w:bookmarkEnd w:id="155"/>
    </w:p>
    <w:p>
      <w:pPr>
        <w:pStyle w:val="7"/>
        <w:bidi w:val="0"/>
        <w:rPr>
          <w:rFonts w:hint="eastAsia"/>
          <w:lang w:eastAsia="zh-CN"/>
        </w:rPr>
      </w:pPr>
      <w:r>
        <w:rPr>
          <w:rFonts w:hint="eastAsia"/>
          <w:lang w:eastAsia="zh-CN"/>
        </w:rPr>
        <w:t>本校2019届毕业生升学比例较高的专业是商务英语（51.5%）、商务英语（外贸业务）（4</w:t>
      </w:r>
      <w:r>
        <w:rPr>
          <w:lang w:eastAsia="zh-CN"/>
        </w:rPr>
        <w:t>7.8</w:t>
      </w:r>
      <w:r>
        <w:rPr>
          <w:rFonts w:hint="eastAsia"/>
          <w:lang w:eastAsia="zh-CN"/>
        </w:rPr>
        <w:t>%）等。</w:t>
      </w:r>
    </w:p>
    <w:p>
      <w:pPr>
        <w:jc w:val="center"/>
        <w:rPr>
          <w:rFonts w:hint="eastAsia" w:ascii="Calibri" w:hAnsi="Calibri"/>
        </w:rPr>
      </w:pPr>
      <w:r>
        <w:rPr>
          <w:rFonts w:ascii="Calibri" w:hAnsi="Calibri"/>
        </w:rPr>
        <w:drawing>
          <wp:inline distT="0" distB="0" distL="114300" distR="114300">
            <wp:extent cx="5067935" cy="5963285"/>
            <wp:effectExtent l="0" t="0" r="0" b="0"/>
            <wp:docPr id="126"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 name="图片 54"/>
                    <pic:cNvPicPr>
                      <a:picLocks noChangeAspect="1"/>
                    </pic:cNvPicPr>
                  </pic:nvPicPr>
                  <pic:blipFill>
                    <a:blip r:embed="rId29"/>
                    <a:stretch>
                      <a:fillRect/>
                    </a:stretch>
                  </pic:blipFill>
                  <pic:spPr>
                    <a:xfrm>
                      <a:off x="0" y="0"/>
                      <a:ext cx="5067935" cy="5963285"/>
                    </a:xfrm>
                    <a:prstGeom prst="rect">
                      <a:avLst/>
                    </a:prstGeom>
                    <a:noFill/>
                    <a:ln>
                      <a:noFill/>
                    </a:ln>
                  </pic:spPr>
                </pic:pic>
              </a:graphicData>
            </a:graphic>
          </wp:inline>
        </w:drawing>
      </w:r>
    </w:p>
    <w:p>
      <w:pPr>
        <w:pStyle w:val="8"/>
        <w:numPr>
          <w:ilvl w:val="0"/>
          <w:numId w:val="0"/>
        </w:numPr>
        <w:spacing w:line="360" w:lineRule="auto"/>
        <w:jc w:val="center"/>
        <w:rPr>
          <w:rFonts w:hint="eastAsia" w:asciiTheme="minorEastAsia" w:hAnsiTheme="minorEastAsia" w:eastAsiaTheme="minorEastAsia" w:cstheme="minorEastAsia"/>
          <w:b/>
          <w:bCs/>
          <w:kern w:val="2"/>
          <w:sz w:val="21"/>
          <w:szCs w:val="21"/>
          <w:lang w:val="en-US" w:eastAsia="zh-CN" w:bidi="ar-SA"/>
        </w:rPr>
      </w:pPr>
      <w:bookmarkStart w:id="156" w:name="_Toc23442247"/>
      <w:r>
        <w:rPr>
          <w:rFonts w:hint="eastAsia" w:asciiTheme="minorEastAsia" w:hAnsiTheme="minorEastAsia" w:eastAsiaTheme="minorEastAsia" w:cstheme="minorEastAsia"/>
          <w:b/>
          <w:bCs/>
          <w:kern w:val="2"/>
          <w:sz w:val="21"/>
          <w:szCs w:val="21"/>
          <w:lang w:val="en-US" w:eastAsia="zh-CN" w:bidi="ar-SA"/>
        </w:rPr>
        <w:t>图 1-16各专业毕业生的升学比例</w:t>
      </w:r>
      <w:bookmarkEnd w:id="156"/>
    </w:p>
    <w:p>
      <w:pPr>
        <w:jc w:val="left"/>
        <w:rPr>
          <w:rFonts w:hint="eastAsia" w:asciiTheme="minorEastAsia" w:hAnsiTheme="minorEastAsia" w:eastAsiaTheme="minorEastAsia" w:cstheme="minorEastAsia"/>
          <w:color w:val="000000"/>
          <w:sz w:val="21"/>
          <w:szCs w:val="32"/>
        </w:rPr>
      </w:pPr>
      <w:r>
        <w:rPr>
          <w:rFonts w:hint="eastAsia" w:asciiTheme="minorEastAsia" w:hAnsiTheme="minorEastAsia" w:eastAsiaTheme="minorEastAsia" w:cstheme="minorEastAsia"/>
          <w:color w:val="000000"/>
          <w:sz w:val="21"/>
          <w:szCs w:val="32"/>
        </w:rPr>
        <w:t>数据来源：海南外国语职业学院数据。</w:t>
      </w:r>
    </w:p>
    <w:p>
      <w:pPr>
        <w:jc w:val="left"/>
        <w:rPr>
          <w:rFonts w:hint="eastAsia" w:asciiTheme="minorEastAsia" w:hAnsiTheme="minorEastAsia" w:eastAsiaTheme="minorEastAsia" w:cstheme="minorEastAsia"/>
          <w:color w:val="000000"/>
          <w:sz w:val="21"/>
          <w:szCs w:val="32"/>
        </w:rPr>
        <w:sectPr>
          <w:footnotePr>
            <w:numRestart w:val="eachSect"/>
          </w:footnotePr>
          <w:pgSz w:w="11906" w:h="16838"/>
          <w:pgMar w:top="1985" w:right="1531" w:bottom="1701" w:left="1701" w:header="964" w:footer="851" w:gutter="0"/>
          <w:pgNumType w:fmt="decimal"/>
          <w:cols w:space="425" w:num="1"/>
          <w:docGrid w:linePitch="312" w:charSpace="0"/>
        </w:sectPr>
      </w:pPr>
    </w:p>
    <w:p>
      <w:pPr>
        <w:jc w:val="center"/>
        <w:rPr>
          <w:rFonts w:ascii="Calibri" w:hAnsi="Calibri" w:cs="Arial"/>
          <w:kern w:val="0"/>
          <w:sz w:val="18"/>
          <w:szCs w:val="18"/>
        </w:rPr>
      </w:pPr>
      <w:r>
        <w:rPr>
          <w:rFonts w:ascii="Calibri" w:hAnsi="Calibri" w:cs="Arial"/>
          <w:kern w:val="0"/>
          <w:sz w:val="18"/>
          <w:szCs w:val="18"/>
        </w:rPr>
        <w:drawing>
          <wp:inline distT="0" distB="0" distL="114300" distR="114300">
            <wp:extent cx="5067935" cy="5963285"/>
            <wp:effectExtent l="0" t="0" r="0" b="0"/>
            <wp:docPr id="127"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 name="图片 55"/>
                    <pic:cNvPicPr>
                      <a:picLocks noChangeAspect="1"/>
                    </pic:cNvPicPr>
                  </pic:nvPicPr>
                  <pic:blipFill>
                    <a:blip r:embed="rId30"/>
                    <a:stretch>
                      <a:fillRect/>
                    </a:stretch>
                  </pic:blipFill>
                  <pic:spPr>
                    <a:xfrm>
                      <a:off x="0" y="0"/>
                      <a:ext cx="5067935" cy="5963285"/>
                    </a:xfrm>
                    <a:prstGeom prst="rect">
                      <a:avLst/>
                    </a:prstGeom>
                    <a:noFill/>
                    <a:ln>
                      <a:noFill/>
                    </a:ln>
                  </pic:spPr>
                </pic:pic>
              </a:graphicData>
            </a:graphic>
          </wp:inline>
        </w:drawing>
      </w:r>
    </w:p>
    <w:p>
      <w:pPr>
        <w:spacing w:after="120" w:afterLines="50"/>
        <w:jc w:val="center"/>
        <w:rPr>
          <w:rFonts w:hint="eastAsia" w:ascii="Calibri" w:hAnsi="Calibri" w:cs="Arial"/>
          <w:b/>
          <w:kern w:val="0"/>
          <w:sz w:val="18"/>
          <w:szCs w:val="18"/>
        </w:rPr>
      </w:pPr>
      <w:r>
        <w:rPr>
          <w:rFonts w:hint="eastAsia" w:asciiTheme="minorEastAsia" w:hAnsiTheme="minorEastAsia" w:eastAsiaTheme="minorEastAsia" w:cstheme="minorEastAsia"/>
          <w:b/>
          <w:bCs/>
          <w:kern w:val="2"/>
          <w:sz w:val="21"/>
          <w:szCs w:val="21"/>
          <w:lang w:val="en-US" w:eastAsia="zh-CN" w:bidi="ar-SA"/>
        </w:rPr>
        <w:t>续图 1-16 各专业毕业生的升学比例</w:t>
      </w:r>
    </w:p>
    <w:p>
      <w:pPr>
        <w:jc w:val="left"/>
        <w:rPr>
          <w:rFonts w:hint="eastAsia" w:asciiTheme="minorEastAsia" w:hAnsiTheme="minorEastAsia" w:eastAsiaTheme="minorEastAsia" w:cstheme="minorEastAsia"/>
          <w:color w:val="000000"/>
          <w:sz w:val="21"/>
          <w:szCs w:val="32"/>
        </w:rPr>
      </w:pPr>
      <w:r>
        <w:rPr>
          <w:rFonts w:hint="eastAsia" w:asciiTheme="minorEastAsia" w:hAnsiTheme="minorEastAsia" w:eastAsiaTheme="minorEastAsia" w:cstheme="minorEastAsia"/>
          <w:color w:val="000000"/>
          <w:sz w:val="21"/>
          <w:szCs w:val="32"/>
        </w:rPr>
        <w:t>数据来源：海南外国语职业学院数据。</w:t>
      </w:r>
    </w:p>
    <w:p>
      <w:pPr>
        <w:jc w:val="left"/>
        <w:rPr>
          <w:rFonts w:hint="eastAsia" w:asciiTheme="minorEastAsia" w:hAnsiTheme="minorEastAsia" w:eastAsiaTheme="minorEastAsia" w:cstheme="minorEastAsia"/>
          <w:color w:val="000000"/>
          <w:sz w:val="21"/>
          <w:szCs w:val="32"/>
        </w:rPr>
        <w:sectPr>
          <w:footnotePr>
            <w:numRestart w:val="eachSect"/>
          </w:footnotePr>
          <w:pgSz w:w="11906" w:h="16838"/>
          <w:pgMar w:top="1985" w:right="1531" w:bottom="1701" w:left="1701" w:header="964" w:footer="851" w:gutter="0"/>
          <w:pgNumType w:fmt="decimal"/>
          <w:cols w:space="425" w:num="1"/>
          <w:docGrid w:linePitch="312" w:charSpace="0"/>
        </w:sectPr>
      </w:pPr>
    </w:p>
    <w:p>
      <w:pPr>
        <w:pStyle w:val="3"/>
        <w:bidi w:val="0"/>
        <w:ind w:left="0" w:leftChars="0" w:firstLine="0" w:firstLineChars="0"/>
      </w:pPr>
      <w:bookmarkStart w:id="157" w:name="_Toc23697"/>
      <w:bookmarkStart w:id="158" w:name="_Toc23434175"/>
      <w:bookmarkStart w:id="159" w:name="pb_20"/>
      <w:r>
        <w:rPr>
          <w:rFonts w:hint="eastAsia"/>
        </w:rPr>
        <w:t>毕业生的创业情况</w:t>
      </w:r>
      <w:bookmarkEnd w:id="157"/>
      <w:bookmarkEnd w:id="158"/>
    </w:p>
    <w:p>
      <w:pPr>
        <w:pStyle w:val="4"/>
        <w:bidi w:val="0"/>
        <w:ind w:left="0" w:leftChars="0" w:firstLine="400" w:firstLineChars="0"/>
      </w:pPr>
      <w:bookmarkStart w:id="160" w:name="pb_518"/>
      <w:bookmarkStart w:id="161" w:name="icb_505"/>
      <w:r>
        <w:rPr>
          <w:rFonts w:hint="eastAsia"/>
          <w:lang w:val="en-US" w:eastAsia="zh-CN"/>
        </w:rPr>
        <w:t xml:space="preserve"> </w:t>
      </w:r>
      <w:bookmarkStart w:id="162" w:name="_Toc18824"/>
      <w:r>
        <w:t>毕业生</w:t>
      </w:r>
      <w:r>
        <w:rPr>
          <w:lang w:eastAsia="zh-CN"/>
        </w:rPr>
        <w:t>的</w:t>
      </w:r>
      <w:r>
        <w:t>自主创业比例</w:t>
      </w:r>
      <w:bookmarkEnd w:id="162"/>
    </w:p>
    <w:p>
      <w:pPr>
        <w:pStyle w:val="7"/>
        <w:bidi w:val="0"/>
      </w:pPr>
      <w:r>
        <w:rPr>
          <w:rFonts w:hint="eastAsia"/>
          <w:lang w:val="en-US" w:eastAsia="zh-CN"/>
        </w:rPr>
        <w:t>本校2019届毕业生的自主创业比例为</w:t>
      </w:r>
      <w:r>
        <w:rPr>
          <w:lang w:val="en-US" w:eastAsia="zh-CN"/>
        </w:rPr>
        <w:t>0.3</w:t>
      </w:r>
      <w:r>
        <w:rPr>
          <w:rFonts w:hint="eastAsia"/>
          <w:lang w:val="en-US" w:eastAsia="zh-CN"/>
        </w:rPr>
        <w:t>%。</w:t>
      </w:r>
    </w:p>
    <w:p>
      <w:pPr>
        <w:pStyle w:val="8"/>
        <w:numPr>
          <w:ilvl w:val="0"/>
          <w:numId w:val="0"/>
        </w:numPr>
        <w:spacing w:line="360" w:lineRule="auto"/>
        <w:jc w:val="center"/>
        <w:rPr>
          <w:rFonts w:hint="eastAsia" w:asciiTheme="minorEastAsia" w:hAnsiTheme="minorEastAsia" w:eastAsiaTheme="minorEastAsia" w:cstheme="minorEastAsia"/>
          <w:b/>
          <w:bCs/>
          <w:color w:val="auto"/>
          <w:sz w:val="18"/>
          <w:szCs w:val="18"/>
          <w:lang w:eastAsia="zh-CN"/>
        </w:rPr>
      </w:pPr>
      <w:bookmarkStart w:id="163" w:name="自主创业比例"/>
      <w:bookmarkEnd w:id="163"/>
      <w:bookmarkStart w:id="164" w:name="_Toc11144295"/>
      <w:bookmarkStart w:id="165" w:name="_Toc23442248"/>
      <w:bookmarkStart w:id="166" w:name="_Toc452567786"/>
    </w:p>
    <w:p>
      <w:pPr>
        <w:pStyle w:val="8"/>
        <w:numPr>
          <w:ilvl w:val="0"/>
          <w:numId w:val="0"/>
        </w:numPr>
        <w:spacing w:line="360" w:lineRule="auto"/>
        <w:jc w:val="center"/>
        <w:rPr>
          <w:rFonts w:hint="eastAsia" w:asciiTheme="minorEastAsia" w:hAnsiTheme="minorEastAsia" w:eastAsiaTheme="minorEastAsia" w:cstheme="minorEastAsia"/>
          <w:b/>
          <w:bCs/>
          <w:color w:val="auto"/>
          <w:sz w:val="18"/>
          <w:szCs w:val="18"/>
          <w:lang w:eastAsia="zh-CN"/>
        </w:rPr>
      </w:pPr>
      <w:r>
        <w:rPr>
          <w:rFonts w:hint="eastAsia" w:asciiTheme="minorEastAsia" w:hAnsiTheme="minorEastAsia" w:eastAsiaTheme="minorEastAsia" w:cstheme="minorEastAsia"/>
          <w:b/>
          <w:bCs/>
          <w:color w:val="auto"/>
          <w:sz w:val="18"/>
          <w:szCs w:val="18"/>
          <w:lang w:eastAsia="zh-CN"/>
        </w:rPr>
        <w:drawing>
          <wp:inline distT="0" distB="0" distL="114300" distR="114300">
            <wp:extent cx="5448300" cy="1219200"/>
            <wp:effectExtent l="0" t="0" r="0" b="0"/>
            <wp:docPr id="10" name="图片 10" descr="15765690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1576569043(1)"/>
                    <pic:cNvPicPr>
                      <a:picLocks noChangeAspect="1"/>
                    </pic:cNvPicPr>
                  </pic:nvPicPr>
                  <pic:blipFill>
                    <a:blip r:embed="rId31"/>
                    <a:stretch>
                      <a:fillRect/>
                    </a:stretch>
                  </pic:blipFill>
                  <pic:spPr>
                    <a:xfrm>
                      <a:off x="0" y="0"/>
                      <a:ext cx="5448300" cy="1219200"/>
                    </a:xfrm>
                    <a:prstGeom prst="rect">
                      <a:avLst/>
                    </a:prstGeom>
                  </pic:spPr>
                </pic:pic>
              </a:graphicData>
            </a:graphic>
          </wp:inline>
        </w:drawing>
      </w:r>
    </w:p>
    <w:p>
      <w:pPr>
        <w:pStyle w:val="8"/>
        <w:numPr>
          <w:ilvl w:val="0"/>
          <w:numId w:val="0"/>
        </w:numPr>
        <w:spacing w:line="360" w:lineRule="auto"/>
        <w:jc w:val="both"/>
        <w:rPr>
          <w:rFonts w:hint="eastAsia" w:asciiTheme="minorEastAsia" w:hAnsiTheme="minorEastAsia" w:eastAsiaTheme="minorEastAsia" w:cstheme="minorEastAsia"/>
          <w:b/>
          <w:bCs/>
          <w:color w:val="auto"/>
          <w:sz w:val="18"/>
          <w:szCs w:val="18"/>
          <w:lang w:eastAsia="zh-CN"/>
        </w:rPr>
      </w:pPr>
    </w:p>
    <w:p>
      <w:pPr>
        <w:pStyle w:val="8"/>
        <w:numPr>
          <w:ilvl w:val="0"/>
          <w:numId w:val="0"/>
        </w:numPr>
        <w:spacing w:line="360" w:lineRule="auto"/>
        <w:jc w:val="center"/>
        <w:rPr>
          <w:rFonts w:hint="eastAsia" w:asciiTheme="minorEastAsia" w:hAnsiTheme="minorEastAsia" w:eastAsiaTheme="minorEastAsia" w:cstheme="minorEastAsia"/>
          <w:b/>
          <w:bCs/>
          <w:kern w:val="2"/>
          <w:sz w:val="21"/>
          <w:szCs w:val="21"/>
          <w:lang w:val="en-US" w:eastAsia="zh-CN" w:bidi="ar-SA"/>
        </w:rPr>
      </w:pPr>
      <w:r>
        <w:rPr>
          <w:rFonts w:hint="eastAsia" w:asciiTheme="minorEastAsia" w:hAnsiTheme="minorEastAsia" w:eastAsiaTheme="minorEastAsia" w:cstheme="minorEastAsia"/>
          <w:b/>
          <w:bCs/>
          <w:kern w:val="2"/>
          <w:sz w:val="21"/>
          <w:szCs w:val="21"/>
          <w:lang w:val="en-US" w:eastAsia="zh-CN" w:bidi="ar-SA"/>
        </w:rPr>
        <w:t>图 1-17毕业生的自主创业比例</w:t>
      </w:r>
      <w:bookmarkEnd w:id="164"/>
      <w:bookmarkEnd w:id="165"/>
      <w:bookmarkEnd w:id="166"/>
    </w:p>
    <w:p>
      <w:pPr>
        <w:jc w:val="left"/>
        <w:rPr>
          <w:rFonts w:hint="eastAsia" w:asciiTheme="minorEastAsia" w:hAnsiTheme="minorEastAsia" w:eastAsiaTheme="minorEastAsia" w:cstheme="minorEastAsia"/>
          <w:color w:val="000000"/>
          <w:sz w:val="21"/>
          <w:szCs w:val="32"/>
        </w:rPr>
      </w:pPr>
      <w:r>
        <w:rPr>
          <w:rFonts w:hint="eastAsia" w:asciiTheme="minorEastAsia" w:hAnsiTheme="minorEastAsia" w:eastAsiaTheme="minorEastAsia" w:cstheme="minorEastAsia"/>
          <w:color w:val="000000"/>
          <w:sz w:val="21"/>
          <w:szCs w:val="32"/>
        </w:rPr>
        <w:t>数据来源：海南外国语职业学院数据。</w:t>
      </w:r>
    </w:p>
    <w:bookmarkEnd w:id="160"/>
    <w:bookmarkEnd w:id="161"/>
    <w:p>
      <w:pPr>
        <w:rPr>
          <w:rFonts w:ascii="Calibri" w:hAnsi="Calibri" w:cs="Calibri"/>
        </w:rPr>
      </w:pPr>
    </w:p>
    <w:p>
      <w:pPr>
        <w:pStyle w:val="4"/>
        <w:bidi w:val="0"/>
        <w:ind w:left="0" w:leftChars="0" w:firstLine="400" w:firstLineChars="0"/>
      </w:pPr>
      <w:bookmarkStart w:id="167" w:name="pb_520"/>
      <w:bookmarkStart w:id="168" w:name="itb_500"/>
      <w:r>
        <w:rPr>
          <w:rFonts w:hint="eastAsia"/>
          <w:lang w:val="en-US" w:eastAsia="zh-CN"/>
        </w:rPr>
        <w:t xml:space="preserve"> </w:t>
      </w:r>
      <w:bookmarkStart w:id="169" w:name="_Toc25275"/>
      <w:r>
        <w:t>毕业生自主创业集中的行业</w:t>
      </w:r>
      <w:r>
        <w:rPr>
          <w:lang w:eastAsia="zh-CN"/>
        </w:rPr>
        <w:t>类</w:t>
      </w:r>
      <w:bookmarkEnd w:id="169"/>
    </w:p>
    <w:p>
      <w:pPr>
        <w:pStyle w:val="7"/>
        <w:bidi w:val="0"/>
      </w:pPr>
      <w:r>
        <w:rPr>
          <w:rFonts w:hint="eastAsia"/>
          <w:lang w:eastAsia="zh-CN"/>
        </w:rPr>
        <w:t>本校自主创业毕业生集中的主要行业类如下表所示。从表中可见，自主创业的毕业生主要集中的领域是零售业、住宿和餐饮业等。</w:t>
      </w:r>
    </w:p>
    <w:p>
      <w:pPr>
        <w:pStyle w:val="8"/>
        <w:numPr>
          <w:ilvl w:val="0"/>
          <w:numId w:val="0"/>
        </w:numPr>
        <w:spacing w:line="360" w:lineRule="auto"/>
        <w:jc w:val="center"/>
        <w:rPr>
          <w:rFonts w:eastAsia="宋体" w:cs="Calibri"/>
        </w:rPr>
      </w:pPr>
      <w:bookmarkStart w:id="170" w:name="_Toc23442249"/>
      <w:bookmarkStart w:id="171" w:name="_Toc11144297"/>
      <w:bookmarkStart w:id="172" w:name="_Toc452567788"/>
      <w:r>
        <w:rPr>
          <w:rFonts w:hint="eastAsia" w:asciiTheme="minorEastAsia" w:hAnsiTheme="minorEastAsia" w:eastAsiaTheme="minorEastAsia" w:cstheme="minorEastAsia"/>
          <w:b/>
          <w:bCs/>
          <w:kern w:val="2"/>
          <w:sz w:val="21"/>
          <w:szCs w:val="21"/>
          <w:lang w:val="en-US" w:eastAsia="zh-CN" w:bidi="ar-SA"/>
        </w:rPr>
        <w:t>表 1-13毕业生实际创业的行业类（合并数据）</w:t>
      </w:r>
      <w:bookmarkEnd w:id="170"/>
      <w:bookmarkEnd w:id="171"/>
      <w:bookmarkEnd w:id="172"/>
    </w:p>
    <w:tbl>
      <w:tblPr>
        <w:tblStyle w:val="14"/>
        <w:tblW w:w="8890" w:type="dxa"/>
        <w:tblInd w:w="0" w:type="dxa"/>
        <w:tblLayout w:type="fixed"/>
        <w:tblCellMar>
          <w:top w:w="0" w:type="dxa"/>
          <w:left w:w="108" w:type="dxa"/>
          <w:bottom w:w="0" w:type="dxa"/>
          <w:right w:w="108" w:type="dxa"/>
        </w:tblCellMar>
      </w:tblPr>
      <w:tblGrid>
        <w:gridCol w:w="4445"/>
        <w:gridCol w:w="4445"/>
      </w:tblGrid>
      <w:tr>
        <w:tblPrEx>
          <w:tblCellMar>
            <w:top w:w="0" w:type="dxa"/>
            <w:left w:w="108" w:type="dxa"/>
            <w:bottom w:w="0" w:type="dxa"/>
            <w:right w:w="108" w:type="dxa"/>
          </w:tblCellMar>
        </w:tblPrEx>
        <w:trPr>
          <w:trHeight w:val="270" w:hRule="atLeast"/>
          <w:tblHeader/>
        </w:trPr>
        <w:tc>
          <w:tcPr>
            <w:tcW w:w="4445" w:type="dxa"/>
            <w:tcBorders>
              <w:top w:val="nil"/>
              <w:left w:val="nil"/>
              <w:bottom w:val="nil"/>
              <w:right w:val="single" w:color="FFFFFF" w:sz="12" w:space="0"/>
            </w:tcBorders>
            <w:shd w:val="clear" w:color="000000" w:fill="2350A0"/>
            <w:noWrap/>
            <w:vAlign w:val="center"/>
          </w:tcPr>
          <w:p>
            <w:pPr>
              <w:widowControl/>
              <w:spacing w:line="320" w:lineRule="exact"/>
              <w:jc w:val="center"/>
              <w:rPr>
                <w:rFonts w:ascii="Calibri" w:hAnsi="Calibri"/>
                <w:b/>
                <w:bCs/>
                <w:color w:val="FFFFFF"/>
                <w:kern w:val="0"/>
                <w:sz w:val="20"/>
                <w:szCs w:val="20"/>
              </w:rPr>
            </w:pPr>
            <w:bookmarkStart w:id="173" w:name="自主创业集中的行业类"/>
            <w:bookmarkEnd w:id="173"/>
            <w:r>
              <w:rPr>
                <w:rFonts w:hint="eastAsia" w:ascii="Calibri" w:hAnsi="Calibri"/>
                <w:b/>
                <w:bCs/>
                <w:color w:val="FFFFFF"/>
                <w:sz w:val="20"/>
                <w:szCs w:val="20"/>
              </w:rPr>
              <w:t>行业类名称</w:t>
            </w:r>
          </w:p>
        </w:tc>
        <w:tc>
          <w:tcPr>
            <w:tcW w:w="4445" w:type="dxa"/>
            <w:tcBorders>
              <w:top w:val="nil"/>
              <w:left w:val="nil"/>
              <w:bottom w:val="nil"/>
              <w:right w:val="single" w:color="FFFFFF" w:sz="12" w:space="0"/>
            </w:tcBorders>
            <w:shd w:val="clear" w:color="000000" w:fill="2350A0"/>
            <w:noWrap/>
            <w:vAlign w:val="center"/>
          </w:tcPr>
          <w:p>
            <w:pPr>
              <w:spacing w:line="320" w:lineRule="exact"/>
              <w:jc w:val="center"/>
              <w:rPr>
                <w:rFonts w:hint="eastAsia" w:ascii="Calibri" w:hAnsi="Calibri"/>
                <w:b/>
                <w:bCs/>
                <w:color w:val="FFFFFF"/>
                <w:sz w:val="20"/>
                <w:szCs w:val="20"/>
              </w:rPr>
            </w:pPr>
            <w:r>
              <w:rPr>
                <w:rFonts w:hint="eastAsia" w:ascii="Calibri" w:hAnsi="Calibri"/>
                <w:b/>
                <w:bCs/>
                <w:color w:val="FFFFFF"/>
                <w:sz w:val="20"/>
                <w:szCs w:val="20"/>
              </w:rPr>
              <w:t>就业于该行业类的比例（%）</w:t>
            </w:r>
          </w:p>
        </w:tc>
      </w:tr>
      <w:tr>
        <w:tblPrEx>
          <w:tblCellMar>
            <w:top w:w="0" w:type="dxa"/>
            <w:left w:w="108" w:type="dxa"/>
            <w:bottom w:w="0" w:type="dxa"/>
            <w:right w:w="108" w:type="dxa"/>
          </w:tblCellMar>
        </w:tblPrEx>
        <w:trPr>
          <w:trHeight w:val="270" w:hRule="atLeast"/>
        </w:trPr>
        <w:tc>
          <w:tcPr>
            <w:tcW w:w="4445" w:type="dxa"/>
            <w:tcBorders>
              <w:top w:val="nil"/>
              <w:left w:val="nil"/>
              <w:bottom w:val="nil"/>
              <w:right w:val="nil"/>
            </w:tcBorders>
            <w:shd w:val="clear" w:color="000000" w:fill="FFFFFF"/>
            <w:noWrap/>
            <w:vAlign w:val="center"/>
          </w:tcPr>
          <w:p>
            <w:pPr>
              <w:spacing w:line="320" w:lineRule="exact"/>
              <w:jc w:val="left"/>
              <w:rPr>
                <w:rFonts w:hint="eastAsia" w:ascii="Calibri" w:hAnsi="Calibri"/>
                <w:color w:val="000000"/>
                <w:sz w:val="20"/>
                <w:szCs w:val="20"/>
              </w:rPr>
            </w:pPr>
            <w:r>
              <w:rPr>
                <w:rFonts w:hint="eastAsia" w:ascii="Calibri" w:hAnsi="Calibri"/>
                <w:color w:val="000000"/>
                <w:sz w:val="20"/>
                <w:szCs w:val="20"/>
              </w:rPr>
              <w:t>零售业</w:t>
            </w:r>
          </w:p>
        </w:tc>
        <w:tc>
          <w:tcPr>
            <w:tcW w:w="4445" w:type="dxa"/>
            <w:tcBorders>
              <w:top w:val="nil"/>
              <w:left w:val="nil"/>
              <w:bottom w:val="nil"/>
              <w:right w:val="nil"/>
            </w:tcBorders>
            <w:shd w:val="clear" w:color="000000" w:fill="FFFFFF"/>
            <w:noWrap/>
            <w:vAlign w:val="center"/>
          </w:tcPr>
          <w:p>
            <w:pPr>
              <w:spacing w:line="320" w:lineRule="exact"/>
              <w:jc w:val="center"/>
              <w:rPr>
                <w:rFonts w:hint="eastAsia" w:ascii="Calibri" w:hAnsi="Calibri"/>
                <w:color w:val="000000"/>
                <w:sz w:val="20"/>
                <w:szCs w:val="20"/>
              </w:rPr>
            </w:pPr>
            <w:r>
              <w:rPr>
                <w:rFonts w:hint="eastAsia" w:ascii="Calibri" w:hAnsi="Calibri"/>
                <w:color w:val="000000"/>
                <w:sz w:val="20"/>
                <w:szCs w:val="20"/>
              </w:rPr>
              <w:t>31.7</w:t>
            </w:r>
          </w:p>
        </w:tc>
      </w:tr>
      <w:tr>
        <w:tblPrEx>
          <w:tblCellMar>
            <w:top w:w="0" w:type="dxa"/>
            <w:left w:w="108" w:type="dxa"/>
            <w:bottom w:w="0" w:type="dxa"/>
            <w:right w:w="108" w:type="dxa"/>
          </w:tblCellMar>
        </w:tblPrEx>
        <w:trPr>
          <w:trHeight w:val="270" w:hRule="atLeast"/>
        </w:trPr>
        <w:tc>
          <w:tcPr>
            <w:tcW w:w="4445" w:type="dxa"/>
            <w:tcBorders>
              <w:top w:val="nil"/>
              <w:left w:val="nil"/>
              <w:bottom w:val="nil"/>
              <w:right w:val="nil"/>
            </w:tcBorders>
            <w:shd w:val="clear" w:color="000000" w:fill="BEEDF8"/>
            <w:noWrap/>
            <w:vAlign w:val="center"/>
          </w:tcPr>
          <w:p>
            <w:pPr>
              <w:spacing w:line="320" w:lineRule="exact"/>
              <w:jc w:val="left"/>
              <w:rPr>
                <w:rFonts w:hint="eastAsia" w:ascii="Calibri" w:hAnsi="Calibri"/>
                <w:color w:val="000000"/>
                <w:sz w:val="20"/>
                <w:szCs w:val="20"/>
              </w:rPr>
            </w:pPr>
            <w:bookmarkStart w:id="174" w:name="_Hlk23345893"/>
            <w:r>
              <w:rPr>
                <w:rFonts w:hint="eastAsia" w:ascii="Calibri" w:hAnsi="Calibri"/>
                <w:color w:val="000000"/>
                <w:sz w:val="20"/>
                <w:szCs w:val="20"/>
              </w:rPr>
              <w:t>住宿和餐饮业</w:t>
            </w:r>
            <w:bookmarkEnd w:id="174"/>
          </w:p>
        </w:tc>
        <w:tc>
          <w:tcPr>
            <w:tcW w:w="4445" w:type="dxa"/>
            <w:tcBorders>
              <w:top w:val="nil"/>
              <w:left w:val="nil"/>
              <w:bottom w:val="nil"/>
              <w:right w:val="nil"/>
            </w:tcBorders>
            <w:shd w:val="clear" w:color="000000" w:fill="BEEDF8"/>
            <w:noWrap/>
            <w:vAlign w:val="center"/>
          </w:tcPr>
          <w:p>
            <w:pPr>
              <w:spacing w:line="320" w:lineRule="exact"/>
              <w:jc w:val="center"/>
              <w:rPr>
                <w:rFonts w:hint="eastAsia" w:ascii="Calibri" w:hAnsi="Calibri"/>
                <w:color w:val="000000"/>
                <w:sz w:val="20"/>
                <w:szCs w:val="20"/>
              </w:rPr>
            </w:pPr>
            <w:r>
              <w:rPr>
                <w:rFonts w:hint="eastAsia" w:ascii="Calibri" w:hAnsi="Calibri"/>
                <w:color w:val="000000"/>
                <w:sz w:val="20"/>
                <w:szCs w:val="20"/>
              </w:rPr>
              <w:t>22.0</w:t>
            </w:r>
          </w:p>
        </w:tc>
      </w:tr>
      <w:tr>
        <w:tblPrEx>
          <w:tblCellMar>
            <w:top w:w="0" w:type="dxa"/>
            <w:left w:w="108" w:type="dxa"/>
            <w:bottom w:w="0" w:type="dxa"/>
            <w:right w:w="108" w:type="dxa"/>
          </w:tblCellMar>
        </w:tblPrEx>
        <w:trPr>
          <w:trHeight w:val="270" w:hRule="atLeast"/>
        </w:trPr>
        <w:tc>
          <w:tcPr>
            <w:tcW w:w="4445" w:type="dxa"/>
            <w:tcBorders>
              <w:top w:val="nil"/>
              <w:left w:val="nil"/>
              <w:bottom w:val="nil"/>
              <w:right w:val="nil"/>
            </w:tcBorders>
            <w:shd w:val="clear" w:color="000000" w:fill="FFFFFF"/>
            <w:noWrap/>
            <w:vAlign w:val="center"/>
          </w:tcPr>
          <w:p>
            <w:pPr>
              <w:spacing w:line="320" w:lineRule="exact"/>
              <w:jc w:val="left"/>
              <w:rPr>
                <w:rFonts w:hint="eastAsia" w:ascii="Calibri" w:hAnsi="Calibri"/>
                <w:color w:val="000000"/>
                <w:sz w:val="20"/>
                <w:szCs w:val="20"/>
              </w:rPr>
            </w:pPr>
            <w:r>
              <w:rPr>
                <w:rFonts w:hint="eastAsia" w:ascii="Calibri" w:hAnsi="Calibri"/>
                <w:color w:val="000000"/>
                <w:sz w:val="20"/>
                <w:szCs w:val="20"/>
              </w:rPr>
              <w:t>其他服务业（除行政服务）</w:t>
            </w:r>
          </w:p>
        </w:tc>
        <w:tc>
          <w:tcPr>
            <w:tcW w:w="4445" w:type="dxa"/>
            <w:tcBorders>
              <w:top w:val="nil"/>
              <w:left w:val="nil"/>
              <w:bottom w:val="nil"/>
              <w:right w:val="nil"/>
            </w:tcBorders>
            <w:shd w:val="clear" w:color="000000" w:fill="FFFFFF"/>
            <w:noWrap/>
            <w:vAlign w:val="center"/>
          </w:tcPr>
          <w:p>
            <w:pPr>
              <w:spacing w:line="320" w:lineRule="exact"/>
              <w:jc w:val="center"/>
              <w:rPr>
                <w:rFonts w:hint="eastAsia" w:ascii="Calibri" w:hAnsi="Calibri"/>
                <w:color w:val="000000"/>
                <w:sz w:val="20"/>
                <w:szCs w:val="20"/>
              </w:rPr>
            </w:pPr>
            <w:r>
              <w:rPr>
                <w:rFonts w:hint="eastAsia" w:ascii="Calibri" w:hAnsi="Calibri"/>
                <w:color w:val="000000"/>
                <w:sz w:val="20"/>
                <w:szCs w:val="20"/>
              </w:rPr>
              <w:t>12.2</w:t>
            </w:r>
          </w:p>
        </w:tc>
      </w:tr>
      <w:tr>
        <w:tblPrEx>
          <w:tblCellMar>
            <w:top w:w="0" w:type="dxa"/>
            <w:left w:w="108" w:type="dxa"/>
            <w:bottom w:w="0" w:type="dxa"/>
            <w:right w:w="108" w:type="dxa"/>
          </w:tblCellMar>
        </w:tblPrEx>
        <w:trPr>
          <w:trHeight w:val="270" w:hRule="atLeast"/>
        </w:trPr>
        <w:tc>
          <w:tcPr>
            <w:tcW w:w="4445" w:type="dxa"/>
            <w:tcBorders>
              <w:top w:val="nil"/>
              <w:left w:val="nil"/>
              <w:bottom w:val="nil"/>
              <w:right w:val="nil"/>
            </w:tcBorders>
            <w:shd w:val="clear" w:color="000000" w:fill="BEEDF8"/>
            <w:noWrap/>
            <w:vAlign w:val="center"/>
          </w:tcPr>
          <w:p>
            <w:pPr>
              <w:spacing w:line="320" w:lineRule="exact"/>
              <w:jc w:val="left"/>
              <w:rPr>
                <w:rFonts w:hint="eastAsia" w:ascii="Calibri" w:hAnsi="Calibri"/>
                <w:color w:val="000000"/>
                <w:sz w:val="20"/>
                <w:szCs w:val="20"/>
              </w:rPr>
            </w:pPr>
            <w:r>
              <w:rPr>
                <w:rFonts w:hint="eastAsia" w:ascii="Calibri" w:hAnsi="Calibri"/>
                <w:color w:val="000000"/>
                <w:sz w:val="20"/>
                <w:szCs w:val="20"/>
              </w:rPr>
              <w:t>信息传输、软件和信息技术服务业</w:t>
            </w:r>
          </w:p>
        </w:tc>
        <w:tc>
          <w:tcPr>
            <w:tcW w:w="4445" w:type="dxa"/>
            <w:tcBorders>
              <w:top w:val="nil"/>
              <w:left w:val="nil"/>
              <w:bottom w:val="nil"/>
              <w:right w:val="nil"/>
            </w:tcBorders>
            <w:shd w:val="clear" w:color="000000" w:fill="BEEDF8"/>
            <w:noWrap/>
            <w:vAlign w:val="center"/>
          </w:tcPr>
          <w:p>
            <w:pPr>
              <w:spacing w:line="320" w:lineRule="exact"/>
              <w:jc w:val="center"/>
              <w:rPr>
                <w:rFonts w:hint="eastAsia" w:ascii="Calibri" w:hAnsi="Calibri"/>
                <w:color w:val="000000"/>
                <w:sz w:val="20"/>
                <w:szCs w:val="20"/>
              </w:rPr>
            </w:pPr>
            <w:r>
              <w:rPr>
                <w:rFonts w:hint="eastAsia" w:ascii="Calibri" w:hAnsi="Calibri"/>
                <w:color w:val="000000"/>
                <w:sz w:val="20"/>
                <w:szCs w:val="20"/>
              </w:rPr>
              <w:t>7.3</w:t>
            </w:r>
          </w:p>
        </w:tc>
      </w:tr>
      <w:tr>
        <w:tblPrEx>
          <w:tblCellMar>
            <w:top w:w="0" w:type="dxa"/>
            <w:left w:w="108" w:type="dxa"/>
            <w:bottom w:w="0" w:type="dxa"/>
            <w:right w:w="108" w:type="dxa"/>
          </w:tblCellMar>
        </w:tblPrEx>
        <w:trPr>
          <w:trHeight w:val="285" w:hRule="atLeast"/>
        </w:trPr>
        <w:tc>
          <w:tcPr>
            <w:tcW w:w="4445" w:type="dxa"/>
            <w:tcBorders>
              <w:top w:val="nil"/>
              <w:left w:val="nil"/>
              <w:bottom w:val="single" w:color="57B8E7" w:sz="12" w:space="0"/>
              <w:right w:val="nil"/>
            </w:tcBorders>
            <w:shd w:val="clear" w:color="000000" w:fill="FFFFFF"/>
            <w:noWrap/>
            <w:vAlign w:val="center"/>
          </w:tcPr>
          <w:p>
            <w:pPr>
              <w:spacing w:line="320" w:lineRule="exact"/>
              <w:jc w:val="left"/>
              <w:rPr>
                <w:rFonts w:hint="eastAsia" w:ascii="Calibri" w:hAnsi="Calibri"/>
                <w:color w:val="000000"/>
                <w:sz w:val="20"/>
                <w:szCs w:val="20"/>
              </w:rPr>
            </w:pPr>
            <w:r>
              <w:rPr>
                <w:rFonts w:hint="eastAsia" w:ascii="Calibri" w:hAnsi="Calibri"/>
                <w:color w:val="000000"/>
                <w:sz w:val="20"/>
                <w:szCs w:val="20"/>
              </w:rPr>
              <w:t>文化、体育和娱乐业</w:t>
            </w:r>
          </w:p>
        </w:tc>
        <w:tc>
          <w:tcPr>
            <w:tcW w:w="4445" w:type="dxa"/>
            <w:tcBorders>
              <w:top w:val="nil"/>
              <w:left w:val="nil"/>
              <w:bottom w:val="single" w:color="57B8E7" w:sz="12" w:space="0"/>
              <w:right w:val="nil"/>
            </w:tcBorders>
            <w:shd w:val="clear" w:color="000000" w:fill="FFFFFF"/>
            <w:noWrap/>
            <w:vAlign w:val="center"/>
          </w:tcPr>
          <w:p>
            <w:pPr>
              <w:spacing w:line="320" w:lineRule="exact"/>
              <w:jc w:val="center"/>
              <w:rPr>
                <w:rFonts w:hint="eastAsia" w:ascii="Calibri" w:hAnsi="Calibri"/>
                <w:color w:val="000000"/>
                <w:sz w:val="20"/>
                <w:szCs w:val="20"/>
              </w:rPr>
            </w:pPr>
            <w:r>
              <w:rPr>
                <w:rFonts w:hint="eastAsia" w:ascii="Calibri" w:hAnsi="Calibri"/>
                <w:color w:val="000000"/>
                <w:sz w:val="20"/>
                <w:szCs w:val="20"/>
              </w:rPr>
              <w:t>7.3</w:t>
            </w:r>
          </w:p>
        </w:tc>
      </w:tr>
    </w:tbl>
    <w:p>
      <w:pPr>
        <w:jc w:val="left"/>
        <w:rPr>
          <w:rFonts w:hint="eastAsia" w:asciiTheme="minorEastAsia" w:hAnsiTheme="minorEastAsia" w:eastAsiaTheme="minorEastAsia" w:cstheme="minorEastAsia"/>
          <w:color w:val="000000"/>
          <w:sz w:val="21"/>
          <w:szCs w:val="32"/>
        </w:rPr>
      </w:pPr>
      <w:r>
        <w:rPr>
          <w:rFonts w:hint="eastAsia" w:asciiTheme="minorEastAsia" w:hAnsiTheme="minorEastAsia" w:eastAsiaTheme="minorEastAsia" w:cstheme="minorEastAsia"/>
          <w:color w:val="000000"/>
          <w:sz w:val="21"/>
          <w:szCs w:val="32"/>
        </w:rPr>
        <w:t>数据来源：麦可思-海南外国语职业学院2019届毕业生培养质量评价数据。</w:t>
      </w:r>
      <w:bookmarkEnd w:id="167"/>
      <w:bookmarkEnd w:id="168"/>
    </w:p>
    <w:p>
      <w:pPr>
        <w:jc w:val="left"/>
        <w:rPr>
          <w:rFonts w:hint="eastAsia" w:asciiTheme="minorEastAsia" w:hAnsiTheme="minorEastAsia" w:eastAsiaTheme="minorEastAsia" w:cstheme="minorEastAsia"/>
          <w:color w:val="000000"/>
          <w:sz w:val="21"/>
          <w:szCs w:val="32"/>
        </w:rPr>
        <w:sectPr>
          <w:footnotePr>
            <w:numRestart w:val="eachSect"/>
          </w:footnotePr>
          <w:pgSz w:w="11906" w:h="16838"/>
          <w:pgMar w:top="1985" w:right="1531" w:bottom="1701" w:left="1701" w:header="964" w:footer="851" w:gutter="0"/>
          <w:pgNumType w:fmt="decimal"/>
          <w:cols w:space="425" w:num="1"/>
          <w:docGrid w:linePitch="312" w:charSpace="0"/>
        </w:sectPr>
      </w:pPr>
      <w:bookmarkStart w:id="175" w:name="_Toc463870694"/>
    </w:p>
    <w:bookmarkEnd w:id="159"/>
    <w:bookmarkEnd w:id="175"/>
    <w:p>
      <w:pPr>
        <w:pStyle w:val="3"/>
        <w:bidi w:val="0"/>
        <w:ind w:left="0" w:leftChars="0" w:firstLine="0" w:firstLineChars="0"/>
      </w:pPr>
      <w:bookmarkStart w:id="176" w:name="_Toc11144454"/>
      <w:bookmarkStart w:id="177" w:name="_Toc533766954"/>
      <w:bookmarkStart w:id="178" w:name="_Toc23434176"/>
      <w:bookmarkStart w:id="179" w:name="_Toc26894"/>
      <w:r>
        <w:t>职业资格证书获得情况</w:t>
      </w:r>
      <w:bookmarkEnd w:id="176"/>
      <w:bookmarkEnd w:id="177"/>
      <w:bookmarkEnd w:id="178"/>
      <w:bookmarkEnd w:id="179"/>
    </w:p>
    <w:p>
      <w:pPr>
        <w:pStyle w:val="4"/>
        <w:bidi w:val="0"/>
        <w:ind w:left="0" w:leftChars="0" w:firstLine="400" w:firstLineChars="0"/>
      </w:pPr>
      <w:bookmarkStart w:id="180" w:name="_Toc18882"/>
      <w:bookmarkStart w:id="181" w:name="icb_507"/>
      <w:bookmarkStart w:id="182" w:name="pb_522"/>
      <w:r>
        <w:t>毕业生获得职业资格证书的比例</w:t>
      </w:r>
      <w:bookmarkEnd w:id="180"/>
    </w:p>
    <w:p>
      <w:pPr>
        <w:pStyle w:val="7"/>
        <w:bidi w:val="0"/>
        <w:rPr>
          <w:rFonts w:hint="eastAsia"/>
        </w:rPr>
      </w:pPr>
      <w:r>
        <w:rPr>
          <w:rFonts w:hint="eastAsia"/>
        </w:rPr>
        <w:t>本校2019届毕业生获得职业资格证书的比例为23%。</w:t>
      </w:r>
    </w:p>
    <w:p>
      <w:pPr>
        <w:jc w:val="center"/>
        <w:rPr>
          <w:rFonts w:ascii="Calibri" w:hAnsi="Calibri" w:cs="Calibri"/>
          <w:bCs/>
          <w:szCs w:val="21"/>
        </w:rPr>
      </w:pPr>
      <w:bookmarkStart w:id="183" w:name="毕业生获取职业资格证书的比例"/>
      <w:bookmarkEnd w:id="183"/>
      <w:r>
        <w:rPr>
          <w:rFonts w:ascii="Calibri" w:hAnsi="Calibri"/>
        </w:rPr>
        <w:drawing>
          <wp:inline distT="0" distB="0" distL="114300" distR="114300">
            <wp:extent cx="5200650" cy="2514600"/>
            <wp:effectExtent l="0" t="0" r="0" b="0"/>
            <wp:docPr id="125"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 name="图片 57"/>
                    <pic:cNvPicPr>
                      <a:picLocks noChangeAspect="1"/>
                    </pic:cNvPicPr>
                  </pic:nvPicPr>
                  <pic:blipFill>
                    <a:blip r:embed="rId32"/>
                    <a:stretch>
                      <a:fillRect/>
                    </a:stretch>
                  </pic:blipFill>
                  <pic:spPr>
                    <a:xfrm>
                      <a:off x="0" y="0"/>
                      <a:ext cx="5200650" cy="2514600"/>
                    </a:xfrm>
                    <a:prstGeom prst="rect">
                      <a:avLst/>
                    </a:prstGeom>
                    <a:noFill/>
                    <a:ln>
                      <a:noFill/>
                    </a:ln>
                  </pic:spPr>
                </pic:pic>
              </a:graphicData>
            </a:graphic>
          </wp:inline>
        </w:drawing>
      </w:r>
    </w:p>
    <w:p>
      <w:pPr>
        <w:pStyle w:val="8"/>
        <w:numPr>
          <w:ilvl w:val="0"/>
          <w:numId w:val="0"/>
        </w:numPr>
        <w:spacing w:line="360" w:lineRule="auto"/>
        <w:jc w:val="center"/>
        <w:rPr>
          <w:rFonts w:hint="eastAsia" w:asciiTheme="minorEastAsia" w:hAnsiTheme="minorEastAsia" w:eastAsiaTheme="minorEastAsia" w:cstheme="minorEastAsia"/>
          <w:b/>
          <w:bCs/>
          <w:kern w:val="2"/>
          <w:sz w:val="21"/>
          <w:szCs w:val="21"/>
          <w:lang w:val="en-US" w:eastAsia="zh-CN" w:bidi="ar-SA"/>
        </w:rPr>
      </w:pPr>
      <w:bookmarkStart w:id="184" w:name="_Toc11144298"/>
      <w:bookmarkStart w:id="185" w:name="_Toc533086653"/>
      <w:bookmarkStart w:id="186" w:name="_Toc23442250"/>
      <w:r>
        <w:rPr>
          <w:rFonts w:hint="eastAsia" w:asciiTheme="minorEastAsia" w:hAnsiTheme="minorEastAsia" w:eastAsiaTheme="minorEastAsia" w:cstheme="minorEastAsia"/>
          <w:b/>
          <w:bCs/>
          <w:kern w:val="2"/>
          <w:sz w:val="21"/>
          <w:szCs w:val="21"/>
          <w:lang w:val="en-US" w:eastAsia="zh-CN" w:bidi="ar-SA"/>
        </w:rPr>
        <w:t>图 1-18毕业生获得职业资格证书的比例</w:t>
      </w:r>
      <w:bookmarkEnd w:id="184"/>
      <w:bookmarkEnd w:id="185"/>
      <w:bookmarkEnd w:id="186"/>
    </w:p>
    <w:p>
      <w:pPr>
        <w:jc w:val="left"/>
        <w:rPr>
          <w:rFonts w:hint="eastAsia" w:asciiTheme="minorEastAsia" w:hAnsiTheme="minorEastAsia" w:eastAsiaTheme="minorEastAsia" w:cstheme="minorEastAsia"/>
          <w:color w:val="000000"/>
          <w:sz w:val="21"/>
          <w:szCs w:val="32"/>
        </w:rPr>
      </w:pPr>
      <w:r>
        <w:rPr>
          <w:rFonts w:hint="eastAsia" w:asciiTheme="minorEastAsia" w:hAnsiTheme="minorEastAsia" w:eastAsiaTheme="minorEastAsia" w:cstheme="minorEastAsia"/>
          <w:color w:val="000000"/>
          <w:sz w:val="21"/>
          <w:szCs w:val="32"/>
        </w:rPr>
        <w:t>数据来源：麦可思-海南外国语职业学院2019届毕业生培养质量评价数据。</w:t>
      </w:r>
    </w:p>
    <w:p>
      <w:pPr>
        <w:jc w:val="left"/>
        <w:rPr>
          <w:rFonts w:hint="eastAsia" w:asciiTheme="minorEastAsia" w:hAnsiTheme="minorEastAsia" w:eastAsiaTheme="minorEastAsia" w:cstheme="minorEastAsia"/>
          <w:color w:val="000000"/>
          <w:sz w:val="21"/>
          <w:szCs w:val="32"/>
        </w:rPr>
      </w:pPr>
    </w:p>
    <w:bookmarkEnd w:id="181"/>
    <w:bookmarkEnd w:id="182"/>
    <w:p>
      <w:pPr>
        <w:pStyle w:val="4"/>
        <w:bidi w:val="0"/>
        <w:ind w:left="0" w:leftChars="0" w:firstLine="400" w:firstLineChars="0"/>
      </w:pPr>
      <w:r>
        <w:br w:type="page"/>
      </w:r>
      <w:bookmarkStart w:id="187" w:name="_Toc20557"/>
      <w:r>
        <w:t>各专业毕业生获得职业资格证书的比例</w:t>
      </w:r>
      <w:bookmarkEnd w:id="187"/>
    </w:p>
    <w:p>
      <w:pPr>
        <w:pStyle w:val="7"/>
        <w:bidi w:val="0"/>
        <w:rPr>
          <w:rFonts w:hint="eastAsia"/>
        </w:rPr>
      </w:pPr>
      <w:r>
        <w:rPr>
          <w:rFonts w:hint="eastAsia"/>
        </w:rPr>
        <w:t>本校2019届各专业毕业生中，获得职业资格证书比例较高的专业是烹调工艺与营养（70%）、电子商务（47%）、酒店管理（40%）。</w:t>
      </w:r>
    </w:p>
    <w:p>
      <w:pPr>
        <w:jc w:val="center"/>
        <w:rPr>
          <w:rFonts w:ascii="Calibri" w:hAnsi="Calibri" w:cs="Calibri"/>
          <w:kern w:val="0"/>
          <w:szCs w:val="21"/>
        </w:rPr>
      </w:pPr>
      <w:bookmarkStart w:id="188" w:name="各专业毕业生获得职业资格证书的比例"/>
      <w:bookmarkEnd w:id="188"/>
      <w:r>
        <w:rPr>
          <w:rFonts w:ascii="Calibri" w:hAnsi="Calibri"/>
        </w:rPr>
        <w:drawing>
          <wp:inline distT="0" distB="0" distL="114300" distR="114300">
            <wp:extent cx="5067300" cy="5962650"/>
            <wp:effectExtent l="0" t="0" r="0" b="0"/>
            <wp:docPr id="124"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 name="图片 58"/>
                    <pic:cNvPicPr>
                      <a:picLocks noChangeAspect="1"/>
                    </pic:cNvPicPr>
                  </pic:nvPicPr>
                  <pic:blipFill>
                    <a:blip r:embed="rId33"/>
                    <a:stretch>
                      <a:fillRect/>
                    </a:stretch>
                  </pic:blipFill>
                  <pic:spPr>
                    <a:xfrm>
                      <a:off x="0" y="0"/>
                      <a:ext cx="5067300" cy="5962650"/>
                    </a:xfrm>
                    <a:prstGeom prst="rect">
                      <a:avLst/>
                    </a:prstGeom>
                    <a:noFill/>
                    <a:ln>
                      <a:noFill/>
                    </a:ln>
                  </pic:spPr>
                </pic:pic>
              </a:graphicData>
            </a:graphic>
          </wp:inline>
        </w:drawing>
      </w:r>
    </w:p>
    <w:p>
      <w:pPr>
        <w:pStyle w:val="8"/>
        <w:numPr>
          <w:ilvl w:val="0"/>
          <w:numId w:val="0"/>
        </w:numPr>
        <w:spacing w:line="360" w:lineRule="auto"/>
        <w:jc w:val="center"/>
        <w:rPr>
          <w:rFonts w:hint="eastAsia" w:asciiTheme="minorEastAsia" w:hAnsiTheme="minorEastAsia" w:eastAsiaTheme="minorEastAsia" w:cstheme="minorEastAsia"/>
          <w:b/>
          <w:bCs/>
          <w:kern w:val="2"/>
          <w:sz w:val="21"/>
          <w:szCs w:val="21"/>
          <w:lang w:val="en-US" w:eastAsia="zh-CN" w:bidi="ar-SA"/>
        </w:rPr>
      </w:pPr>
      <w:bookmarkStart w:id="189" w:name="_Toc533086654"/>
      <w:bookmarkStart w:id="190" w:name="_Toc23442251"/>
      <w:bookmarkStart w:id="191" w:name="_Toc11144299"/>
      <w:r>
        <w:rPr>
          <w:rFonts w:hint="eastAsia" w:asciiTheme="minorEastAsia" w:hAnsiTheme="minorEastAsia" w:eastAsiaTheme="minorEastAsia" w:cstheme="minorEastAsia"/>
          <w:b/>
          <w:bCs/>
          <w:kern w:val="2"/>
          <w:sz w:val="21"/>
          <w:szCs w:val="21"/>
          <w:lang w:val="en-US" w:eastAsia="zh-CN" w:bidi="ar-SA"/>
        </w:rPr>
        <w:t>图 1-19各专业毕业生获得职业资格证书的比例</w:t>
      </w:r>
      <w:bookmarkEnd w:id="189"/>
      <w:bookmarkEnd w:id="190"/>
      <w:bookmarkEnd w:id="191"/>
    </w:p>
    <w:p>
      <w:pPr>
        <w:jc w:val="left"/>
        <w:rPr>
          <w:rFonts w:hint="eastAsia" w:asciiTheme="minorEastAsia" w:hAnsiTheme="minorEastAsia" w:eastAsiaTheme="minorEastAsia" w:cstheme="minorEastAsia"/>
          <w:color w:val="000000"/>
          <w:sz w:val="21"/>
          <w:szCs w:val="32"/>
        </w:rPr>
      </w:pPr>
      <w:r>
        <w:rPr>
          <w:rFonts w:hint="eastAsia" w:asciiTheme="minorEastAsia" w:hAnsiTheme="minorEastAsia" w:eastAsiaTheme="minorEastAsia" w:cstheme="minorEastAsia"/>
          <w:color w:val="000000"/>
          <w:sz w:val="21"/>
          <w:szCs w:val="32"/>
        </w:rPr>
        <w:t>注：个别专业因样本较少没有包括在内。</w:t>
      </w:r>
    </w:p>
    <w:p>
      <w:pPr>
        <w:jc w:val="left"/>
        <w:rPr>
          <w:rFonts w:hint="eastAsia" w:asciiTheme="minorEastAsia" w:hAnsiTheme="minorEastAsia" w:eastAsiaTheme="minorEastAsia" w:cstheme="minorEastAsia"/>
          <w:color w:val="000000"/>
          <w:sz w:val="21"/>
          <w:szCs w:val="32"/>
        </w:rPr>
      </w:pPr>
      <w:r>
        <w:rPr>
          <w:rFonts w:hint="eastAsia" w:asciiTheme="minorEastAsia" w:hAnsiTheme="minorEastAsia" w:eastAsiaTheme="minorEastAsia" w:cstheme="minorEastAsia"/>
          <w:color w:val="000000"/>
          <w:sz w:val="21"/>
          <w:szCs w:val="32"/>
        </w:rPr>
        <w:t>数据来源：麦可思-海南外国语职业学院2019届毕业生培养质量评价数据。</w:t>
      </w:r>
    </w:p>
    <w:p>
      <w:pPr>
        <w:jc w:val="left"/>
        <w:rPr>
          <w:rFonts w:hint="eastAsia" w:asciiTheme="minorEastAsia" w:hAnsiTheme="minorEastAsia" w:eastAsiaTheme="minorEastAsia" w:cstheme="minorEastAsia"/>
          <w:color w:val="000000"/>
          <w:sz w:val="21"/>
          <w:szCs w:val="32"/>
        </w:rPr>
        <w:sectPr>
          <w:footnotePr>
            <w:numRestart w:val="eachSect"/>
          </w:footnotePr>
          <w:pgSz w:w="11906" w:h="16838"/>
          <w:pgMar w:top="1985" w:right="1531" w:bottom="1701" w:left="1701" w:header="964" w:footer="851" w:gutter="0"/>
          <w:pgNumType w:fmt="decimal"/>
          <w:cols w:space="425" w:num="1"/>
          <w:docGrid w:linePitch="312" w:charSpace="0"/>
        </w:sectPr>
      </w:pPr>
    </w:p>
    <w:p>
      <w:pPr>
        <w:jc w:val="center"/>
        <w:rPr>
          <w:rFonts w:ascii="Calibri" w:hAnsi="Calibri" w:cs="Calibri"/>
          <w:kern w:val="0"/>
          <w:sz w:val="18"/>
          <w:szCs w:val="18"/>
        </w:rPr>
      </w:pPr>
      <w:r>
        <w:rPr>
          <w:rFonts w:ascii="Calibri" w:hAnsi="Calibri" w:cs="Calibri"/>
          <w:kern w:val="0"/>
          <w:sz w:val="18"/>
          <w:szCs w:val="18"/>
        </w:rPr>
        <w:drawing>
          <wp:inline distT="0" distB="0" distL="114300" distR="114300">
            <wp:extent cx="5067300" cy="5582285"/>
            <wp:effectExtent l="0" t="0" r="0" b="0"/>
            <wp:docPr id="123"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 name="图片 59"/>
                    <pic:cNvPicPr>
                      <a:picLocks noChangeAspect="1"/>
                    </pic:cNvPicPr>
                  </pic:nvPicPr>
                  <pic:blipFill>
                    <a:blip r:embed="rId34"/>
                    <a:stretch>
                      <a:fillRect/>
                    </a:stretch>
                  </pic:blipFill>
                  <pic:spPr>
                    <a:xfrm>
                      <a:off x="0" y="0"/>
                      <a:ext cx="5067300" cy="5582285"/>
                    </a:xfrm>
                    <a:prstGeom prst="rect">
                      <a:avLst/>
                    </a:prstGeom>
                    <a:noFill/>
                    <a:ln>
                      <a:noFill/>
                    </a:ln>
                  </pic:spPr>
                </pic:pic>
              </a:graphicData>
            </a:graphic>
          </wp:inline>
        </w:drawing>
      </w:r>
    </w:p>
    <w:p>
      <w:pPr>
        <w:pStyle w:val="8"/>
        <w:numPr>
          <w:ilvl w:val="0"/>
          <w:numId w:val="0"/>
        </w:numPr>
        <w:spacing w:line="360" w:lineRule="auto"/>
        <w:jc w:val="center"/>
        <w:rPr>
          <w:rFonts w:hint="eastAsia" w:asciiTheme="minorEastAsia" w:hAnsiTheme="minorEastAsia" w:eastAsiaTheme="minorEastAsia" w:cstheme="minorEastAsia"/>
          <w:b/>
          <w:bCs/>
          <w:kern w:val="2"/>
          <w:sz w:val="21"/>
          <w:szCs w:val="21"/>
          <w:lang w:val="en-US" w:eastAsia="zh-CN" w:bidi="ar-SA"/>
        </w:rPr>
      </w:pPr>
      <w:r>
        <w:rPr>
          <w:rFonts w:hint="eastAsia" w:asciiTheme="minorEastAsia" w:hAnsiTheme="minorEastAsia" w:eastAsiaTheme="minorEastAsia" w:cstheme="minorEastAsia"/>
          <w:b/>
          <w:bCs/>
          <w:kern w:val="2"/>
          <w:sz w:val="21"/>
          <w:szCs w:val="21"/>
          <w:lang w:val="en-US" w:eastAsia="zh-CN" w:bidi="ar-SA"/>
        </w:rPr>
        <w:t>续图 1-19  各专业毕业生获得职业资格证书的比例</w:t>
      </w:r>
    </w:p>
    <w:p>
      <w:pPr>
        <w:jc w:val="left"/>
        <w:rPr>
          <w:rFonts w:hint="eastAsia" w:asciiTheme="minorEastAsia" w:hAnsiTheme="minorEastAsia" w:eastAsiaTheme="minorEastAsia" w:cstheme="minorEastAsia"/>
          <w:color w:val="000000"/>
          <w:sz w:val="21"/>
          <w:szCs w:val="32"/>
        </w:rPr>
      </w:pPr>
      <w:r>
        <w:rPr>
          <w:rFonts w:hint="eastAsia" w:asciiTheme="minorEastAsia" w:hAnsiTheme="minorEastAsia" w:eastAsiaTheme="minorEastAsia" w:cstheme="minorEastAsia"/>
          <w:color w:val="000000"/>
          <w:sz w:val="21"/>
          <w:szCs w:val="32"/>
        </w:rPr>
        <w:t>注：个别专业因样本较少没有包括在内。</w:t>
      </w:r>
    </w:p>
    <w:p>
      <w:pPr>
        <w:jc w:val="left"/>
        <w:rPr>
          <w:rFonts w:hint="eastAsia" w:asciiTheme="minorEastAsia" w:hAnsiTheme="minorEastAsia" w:eastAsiaTheme="minorEastAsia" w:cstheme="minorEastAsia"/>
          <w:color w:val="000000"/>
          <w:sz w:val="21"/>
          <w:szCs w:val="32"/>
        </w:rPr>
      </w:pPr>
      <w:r>
        <w:rPr>
          <w:rFonts w:hint="eastAsia" w:asciiTheme="minorEastAsia" w:hAnsiTheme="minorEastAsia" w:eastAsiaTheme="minorEastAsia" w:cstheme="minorEastAsia"/>
          <w:color w:val="000000"/>
          <w:sz w:val="21"/>
          <w:szCs w:val="32"/>
        </w:rPr>
        <w:t>数据来源：麦可思-海南外国语职业学院2019届毕业生培养质量评价数据。</w:t>
      </w:r>
    </w:p>
    <w:p>
      <w:pPr>
        <w:pStyle w:val="4"/>
        <w:numPr>
          <w:ilvl w:val="2"/>
          <w:numId w:val="0"/>
        </w:numPr>
        <w:bidi w:val="0"/>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pStyle w:val="3"/>
        <w:bidi w:val="0"/>
        <w:ind w:left="0" w:leftChars="0" w:firstLine="0" w:firstLineChars="0"/>
      </w:pPr>
      <w:bookmarkStart w:id="192" w:name="_Toc382296213"/>
      <w:bookmarkStart w:id="193" w:name="_Toc532230098"/>
      <w:bookmarkStart w:id="194" w:name="_Toc23226"/>
      <w:bookmarkStart w:id="195" w:name="_Toc32324_WPSOffice_Level2"/>
      <w:bookmarkStart w:id="196" w:name="_Toc5021_WPSOffice_Level2"/>
      <w:bookmarkStart w:id="197" w:name="_Toc30628"/>
      <w:r>
        <w:rPr>
          <w:rFonts w:hint="eastAsia"/>
        </w:rPr>
        <w:t>对就业指导服务情况</w:t>
      </w:r>
      <w:bookmarkEnd w:id="192"/>
      <w:bookmarkEnd w:id="193"/>
      <w:r>
        <w:rPr>
          <w:rFonts w:hint="eastAsia"/>
        </w:rPr>
        <w:t>的评价</w:t>
      </w:r>
      <w:bookmarkEnd w:id="194"/>
      <w:bookmarkEnd w:id="195"/>
      <w:bookmarkEnd w:id="196"/>
      <w:bookmarkEnd w:id="197"/>
    </w:p>
    <w:p>
      <w:pPr>
        <w:pStyle w:val="4"/>
        <w:bidi w:val="0"/>
        <w:ind w:left="0" w:leftChars="0" w:firstLine="400" w:firstLineChars="0"/>
      </w:pPr>
      <w:bookmarkStart w:id="198" w:name="_Toc29162"/>
      <w:bookmarkStart w:id="199" w:name="icb_43"/>
      <w:bookmarkStart w:id="200" w:name="pb_23"/>
      <w:r>
        <w:rPr>
          <w:rFonts w:hint="eastAsia"/>
        </w:rPr>
        <w:t>就业指导服务总体满意度</w:t>
      </w:r>
      <w:bookmarkEnd w:id="198"/>
    </w:p>
    <w:p>
      <w:pPr>
        <w:pStyle w:val="7"/>
        <w:bidi w:val="0"/>
      </w:pPr>
      <w:r>
        <w:rPr>
          <w:rFonts w:hint="eastAsia"/>
        </w:rPr>
        <w:t>本校就业指导工作整体效果较好，2019届毕业生对就业指导服务的总体满意度为86%。</w:t>
      </w:r>
    </w:p>
    <w:p>
      <w:pPr>
        <w:jc w:val="center"/>
        <w:rPr>
          <w:rFonts w:ascii="Calibri" w:hAnsi="Calibri"/>
        </w:rPr>
      </w:pPr>
      <w:r>
        <w:rPr>
          <w:rFonts w:ascii="Calibri" w:hAnsi="Calibri"/>
        </w:rPr>
        <w:drawing>
          <wp:inline distT="0" distB="0" distL="114300" distR="114300">
            <wp:extent cx="5210175" cy="2514600"/>
            <wp:effectExtent l="0" t="0" r="0" b="0"/>
            <wp:docPr id="132"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 name="图片 60"/>
                    <pic:cNvPicPr>
                      <a:picLocks noChangeAspect="1"/>
                    </pic:cNvPicPr>
                  </pic:nvPicPr>
                  <pic:blipFill>
                    <a:blip r:embed="rId35"/>
                    <a:stretch>
                      <a:fillRect/>
                    </a:stretch>
                  </pic:blipFill>
                  <pic:spPr>
                    <a:xfrm>
                      <a:off x="0" y="0"/>
                      <a:ext cx="5210175" cy="2514600"/>
                    </a:xfrm>
                    <a:prstGeom prst="rect">
                      <a:avLst/>
                    </a:prstGeom>
                    <a:noFill/>
                    <a:ln>
                      <a:noFill/>
                    </a:ln>
                  </pic:spPr>
                </pic:pic>
              </a:graphicData>
            </a:graphic>
          </wp:inline>
        </w:drawing>
      </w:r>
    </w:p>
    <w:p>
      <w:pPr>
        <w:pStyle w:val="8"/>
        <w:numPr>
          <w:ilvl w:val="0"/>
          <w:numId w:val="0"/>
        </w:numPr>
        <w:spacing w:line="360" w:lineRule="auto"/>
        <w:jc w:val="center"/>
        <w:rPr>
          <w:rFonts w:hint="eastAsia" w:asciiTheme="minorEastAsia" w:hAnsiTheme="minorEastAsia" w:eastAsiaTheme="minorEastAsia" w:cstheme="minorEastAsia"/>
          <w:b/>
          <w:bCs/>
          <w:kern w:val="2"/>
          <w:sz w:val="21"/>
          <w:szCs w:val="21"/>
          <w:lang w:val="en-US" w:eastAsia="zh-CN" w:bidi="ar-SA"/>
        </w:rPr>
      </w:pPr>
      <w:bookmarkStart w:id="201" w:name="_Toc23442253"/>
      <w:r>
        <w:rPr>
          <w:rFonts w:hint="eastAsia" w:asciiTheme="minorEastAsia" w:hAnsiTheme="minorEastAsia" w:eastAsiaTheme="minorEastAsia" w:cstheme="minorEastAsia"/>
          <w:b/>
          <w:bCs/>
          <w:kern w:val="2"/>
          <w:sz w:val="21"/>
          <w:szCs w:val="21"/>
          <w:lang w:val="en-US" w:eastAsia="zh-CN" w:bidi="ar-SA"/>
        </w:rPr>
        <w:t>图 1-20毕业生对就业指导服务的总体满意度</w:t>
      </w:r>
      <w:bookmarkEnd w:id="201"/>
    </w:p>
    <w:p>
      <w:pPr>
        <w:jc w:val="left"/>
        <w:rPr>
          <w:rFonts w:hint="eastAsia" w:asciiTheme="minorEastAsia" w:hAnsiTheme="minorEastAsia" w:eastAsiaTheme="minorEastAsia" w:cstheme="minorEastAsia"/>
          <w:color w:val="000000"/>
          <w:sz w:val="21"/>
          <w:szCs w:val="32"/>
        </w:rPr>
      </w:pPr>
      <w:r>
        <w:rPr>
          <w:rFonts w:hint="eastAsia" w:asciiTheme="minorEastAsia" w:hAnsiTheme="minorEastAsia" w:eastAsiaTheme="minorEastAsia" w:cstheme="minorEastAsia"/>
          <w:color w:val="000000"/>
          <w:sz w:val="21"/>
          <w:szCs w:val="32"/>
        </w:rPr>
        <w:t>数据来源：麦可思-海南外国语职业学院2019届毕业生培养质量评价数据。</w:t>
      </w:r>
    </w:p>
    <w:p>
      <w:pPr>
        <w:spacing w:line="240" w:lineRule="auto"/>
        <w:jc w:val="left"/>
        <w:rPr>
          <w:rFonts w:hint="eastAsia" w:ascii="Calibri" w:hAnsi="Calibri" w:cs="Arial"/>
          <w:kern w:val="0"/>
          <w:sz w:val="18"/>
          <w:szCs w:val="18"/>
        </w:rPr>
      </w:pPr>
    </w:p>
    <w:bookmarkEnd w:id="199"/>
    <w:p>
      <w:pPr>
        <w:rPr>
          <w:rFonts w:ascii="Calibri" w:hAnsi="Calibri"/>
        </w:rPr>
      </w:pPr>
    </w:p>
    <w:p>
      <w:pPr>
        <w:rPr>
          <w:rFonts w:ascii="Calibri" w:hAnsi="Calibri"/>
        </w:rPr>
        <w:sectPr>
          <w:footnotePr>
            <w:numRestart w:val="eachSect"/>
          </w:footnotePr>
          <w:pgSz w:w="11906" w:h="16838"/>
          <w:pgMar w:top="1985" w:right="1531" w:bottom="1701" w:left="1701" w:header="964" w:footer="851" w:gutter="0"/>
          <w:pgNumType w:fmt="decimal"/>
          <w:cols w:space="425" w:num="1"/>
          <w:docGrid w:linePitch="312" w:charSpace="0"/>
        </w:sectPr>
      </w:pPr>
    </w:p>
    <w:bookmarkEnd w:id="200"/>
    <w:p>
      <w:pPr>
        <w:pStyle w:val="4"/>
        <w:bidi w:val="0"/>
        <w:ind w:left="0" w:leftChars="0" w:firstLine="400" w:firstLineChars="0"/>
        <w:rPr>
          <w:rFonts w:hint="eastAsia"/>
        </w:rPr>
      </w:pPr>
      <w:bookmarkStart w:id="202" w:name="_Toc3748"/>
      <w:bookmarkStart w:id="203" w:name="icb_8009"/>
      <w:bookmarkStart w:id="204" w:name="pb_24"/>
      <w:r>
        <w:rPr>
          <w:rFonts w:hint="eastAsia"/>
        </w:rPr>
        <w:t>各院系毕业生对就业指导服务的评价</w:t>
      </w:r>
      <w:bookmarkEnd w:id="202"/>
    </w:p>
    <w:p>
      <w:pPr>
        <w:pStyle w:val="7"/>
        <w:bidi w:val="0"/>
      </w:pPr>
      <w:r>
        <w:rPr>
          <w:rFonts w:hint="eastAsia"/>
        </w:rPr>
        <w:t>本校2019届毕业生中，国际商务系、西语系、旅游系、英语系、东语系的就业指导服务总体满意度分别为88%、87%、86%、82%、80%。</w:t>
      </w:r>
    </w:p>
    <w:p>
      <w:pPr>
        <w:jc w:val="center"/>
        <w:rPr>
          <w:rFonts w:hint="eastAsia" w:ascii="Calibri" w:hAnsi="Calibri"/>
        </w:rPr>
      </w:pPr>
      <w:r>
        <w:rPr>
          <w:rFonts w:ascii="Calibri" w:hAnsi="Calibri"/>
        </w:rPr>
        <w:drawing>
          <wp:inline distT="0" distB="0" distL="114300" distR="114300">
            <wp:extent cx="5067300" cy="3924300"/>
            <wp:effectExtent l="0" t="0" r="0" b="0"/>
            <wp:docPr id="133"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 name="图片 61"/>
                    <pic:cNvPicPr>
                      <a:picLocks noChangeAspect="1"/>
                    </pic:cNvPicPr>
                  </pic:nvPicPr>
                  <pic:blipFill>
                    <a:blip r:embed="rId36"/>
                    <a:stretch>
                      <a:fillRect/>
                    </a:stretch>
                  </pic:blipFill>
                  <pic:spPr>
                    <a:xfrm>
                      <a:off x="0" y="0"/>
                      <a:ext cx="5067300" cy="3924300"/>
                    </a:xfrm>
                    <a:prstGeom prst="rect">
                      <a:avLst/>
                    </a:prstGeom>
                    <a:noFill/>
                    <a:ln>
                      <a:noFill/>
                    </a:ln>
                  </pic:spPr>
                </pic:pic>
              </a:graphicData>
            </a:graphic>
          </wp:inline>
        </w:drawing>
      </w:r>
    </w:p>
    <w:p>
      <w:pPr>
        <w:pStyle w:val="8"/>
        <w:numPr>
          <w:ilvl w:val="0"/>
          <w:numId w:val="0"/>
        </w:numPr>
        <w:spacing w:line="360" w:lineRule="auto"/>
        <w:jc w:val="center"/>
        <w:rPr>
          <w:rFonts w:hint="eastAsia" w:asciiTheme="minorEastAsia" w:hAnsiTheme="minorEastAsia" w:eastAsiaTheme="minorEastAsia" w:cstheme="minorEastAsia"/>
          <w:b/>
          <w:bCs/>
          <w:kern w:val="2"/>
          <w:sz w:val="21"/>
          <w:szCs w:val="21"/>
          <w:lang w:val="en-US" w:eastAsia="zh-CN" w:bidi="ar-SA"/>
        </w:rPr>
      </w:pPr>
      <w:bookmarkStart w:id="205" w:name="_Toc23442254"/>
      <w:r>
        <w:rPr>
          <w:rFonts w:hint="eastAsia" w:asciiTheme="minorEastAsia" w:hAnsiTheme="minorEastAsia" w:eastAsiaTheme="minorEastAsia" w:cstheme="minorEastAsia"/>
          <w:b/>
          <w:bCs/>
          <w:kern w:val="2"/>
          <w:sz w:val="21"/>
          <w:szCs w:val="21"/>
          <w:lang w:val="en-US" w:eastAsia="zh-CN" w:bidi="ar-SA"/>
        </w:rPr>
        <w:t>图 1-21各院系毕业生对就业指导服务的总体满意度</w:t>
      </w:r>
      <w:bookmarkEnd w:id="205"/>
    </w:p>
    <w:p>
      <w:pPr>
        <w:jc w:val="left"/>
        <w:rPr>
          <w:rFonts w:hint="eastAsia" w:asciiTheme="minorEastAsia" w:hAnsiTheme="minorEastAsia" w:eastAsiaTheme="minorEastAsia" w:cstheme="minorEastAsia"/>
          <w:color w:val="000000"/>
          <w:sz w:val="21"/>
          <w:szCs w:val="32"/>
        </w:rPr>
      </w:pPr>
      <w:r>
        <w:rPr>
          <w:rFonts w:hint="eastAsia" w:asciiTheme="minorEastAsia" w:hAnsiTheme="minorEastAsia" w:eastAsiaTheme="minorEastAsia" w:cstheme="minorEastAsia"/>
          <w:color w:val="000000"/>
          <w:sz w:val="21"/>
          <w:szCs w:val="32"/>
        </w:rPr>
        <w:t>注：个别院系因样本较少没有包括在内。</w:t>
      </w:r>
    </w:p>
    <w:p>
      <w:pPr>
        <w:jc w:val="left"/>
        <w:rPr>
          <w:rFonts w:hint="eastAsia" w:asciiTheme="minorEastAsia" w:hAnsiTheme="minorEastAsia" w:eastAsiaTheme="minorEastAsia" w:cstheme="minorEastAsia"/>
          <w:color w:val="000000"/>
          <w:sz w:val="21"/>
          <w:szCs w:val="32"/>
        </w:rPr>
      </w:pPr>
      <w:r>
        <w:rPr>
          <w:rFonts w:hint="eastAsia" w:asciiTheme="minorEastAsia" w:hAnsiTheme="minorEastAsia" w:eastAsiaTheme="minorEastAsia" w:cstheme="minorEastAsia"/>
          <w:color w:val="000000"/>
          <w:sz w:val="21"/>
          <w:szCs w:val="32"/>
        </w:rPr>
        <w:t>数据来源：麦可思-海南外国语职业学院2019届毕业生培养质量评价数据。</w:t>
      </w:r>
    </w:p>
    <w:p>
      <w:pPr>
        <w:spacing w:line="240" w:lineRule="auto"/>
        <w:jc w:val="left"/>
        <w:rPr>
          <w:rFonts w:ascii="Calibri" w:hAnsi="Calibri" w:cs="Arial"/>
          <w:kern w:val="0"/>
          <w:sz w:val="18"/>
          <w:szCs w:val="18"/>
        </w:rPr>
      </w:pPr>
    </w:p>
    <w:p>
      <w:pPr>
        <w:rPr>
          <w:rFonts w:hint="eastAsia" w:ascii="Calibri" w:hAnsi="Calibri"/>
        </w:rPr>
      </w:pPr>
    </w:p>
    <w:bookmarkEnd w:id="203"/>
    <w:p>
      <w:pPr>
        <w:rPr>
          <w:rFonts w:ascii="Calibri" w:hAnsi="Calibri"/>
        </w:rPr>
        <w:sectPr>
          <w:footnotePr>
            <w:numRestart w:val="eachSect"/>
          </w:footnotePr>
          <w:pgSz w:w="11906" w:h="16838"/>
          <w:pgMar w:top="1985" w:right="1531" w:bottom="1701" w:left="1701" w:header="964" w:footer="851" w:gutter="0"/>
          <w:pgNumType w:fmt="decimal"/>
          <w:cols w:space="425" w:num="1"/>
          <w:docGrid w:linePitch="312" w:charSpace="0"/>
        </w:sectPr>
      </w:pPr>
    </w:p>
    <w:bookmarkEnd w:id="204"/>
    <w:p>
      <w:pPr>
        <w:pStyle w:val="4"/>
        <w:bidi w:val="0"/>
        <w:ind w:left="0" w:leftChars="0" w:firstLine="400" w:firstLineChars="0"/>
      </w:pPr>
      <w:bookmarkStart w:id="206" w:name="_Toc16517"/>
      <w:bookmarkStart w:id="207" w:name="pb_25"/>
      <w:bookmarkStart w:id="208" w:name="icb_8010"/>
      <w:r>
        <w:rPr>
          <w:rFonts w:hint="eastAsia"/>
        </w:rPr>
        <w:t>各项</w:t>
      </w:r>
      <w:r>
        <w:t>就业指导服务开展情况及毕业生的评价情况</w:t>
      </w:r>
      <w:bookmarkEnd w:id="206"/>
    </w:p>
    <w:bookmarkEnd w:id="207"/>
    <w:p>
      <w:pPr>
        <w:pStyle w:val="7"/>
        <w:bidi w:val="0"/>
      </w:pPr>
      <w:r>
        <w:rPr>
          <w:rFonts w:hint="eastAsia"/>
        </w:rPr>
        <w:t>本校2019届毕业生中，有88%的人表示接受过母校提供的求职服务，学校求职服务工作落实效果较好。其中，毕业生接受“大学组织的招聘会”求职服务的比例（62%）最大，其有效性为79%；接受“辅导简历写作”求职服务的比例为51%，其有效性（90%）较高。</w:t>
      </w:r>
    </w:p>
    <w:p>
      <w:pPr>
        <w:jc w:val="center"/>
        <w:rPr>
          <w:rFonts w:ascii="Calibri" w:hAnsi="Calibri" w:cs="Arial"/>
          <w:kern w:val="0"/>
          <w:sz w:val="18"/>
          <w:szCs w:val="18"/>
        </w:rPr>
      </w:pPr>
      <w:r>
        <w:rPr>
          <w:rFonts w:ascii="Calibri" w:hAnsi="Calibri" w:cs="Arial"/>
          <w:kern w:val="0"/>
          <w:sz w:val="18"/>
          <w:szCs w:val="18"/>
        </w:rPr>
        <w:drawing>
          <wp:inline distT="0" distB="0" distL="114300" distR="114300">
            <wp:extent cx="5210175" cy="2514600"/>
            <wp:effectExtent l="0" t="0" r="0" b="0"/>
            <wp:docPr id="134"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 name="图片 62"/>
                    <pic:cNvPicPr>
                      <a:picLocks noChangeAspect="1"/>
                    </pic:cNvPicPr>
                  </pic:nvPicPr>
                  <pic:blipFill>
                    <a:blip r:embed="rId37"/>
                    <a:stretch>
                      <a:fillRect/>
                    </a:stretch>
                  </pic:blipFill>
                  <pic:spPr>
                    <a:xfrm>
                      <a:off x="0" y="0"/>
                      <a:ext cx="5210175" cy="2514600"/>
                    </a:xfrm>
                    <a:prstGeom prst="rect">
                      <a:avLst/>
                    </a:prstGeom>
                    <a:noFill/>
                    <a:ln>
                      <a:noFill/>
                    </a:ln>
                  </pic:spPr>
                </pic:pic>
              </a:graphicData>
            </a:graphic>
          </wp:inline>
        </w:drawing>
      </w:r>
    </w:p>
    <w:p>
      <w:pPr>
        <w:pStyle w:val="8"/>
        <w:numPr>
          <w:ilvl w:val="0"/>
          <w:numId w:val="0"/>
        </w:numPr>
        <w:spacing w:line="360" w:lineRule="auto"/>
        <w:jc w:val="center"/>
        <w:rPr>
          <w:rFonts w:hint="eastAsia" w:asciiTheme="minorEastAsia" w:hAnsiTheme="minorEastAsia" w:eastAsiaTheme="minorEastAsia" w:cstheme="minorEastAsia"/>
          <w:b/>
          <w:bCs/>
          <w:kern w:val="2"/>
          <w:sz w:val="21"/>
          <w:szCs w:val="21"/>
          <w:lang w:val="en-US" w:eastAsia="zh-CN" w:bidi="ar-SA"/>
        </w:rPr>
      </w:pPr>
      <w:bookmarkStart w:id="209" w:name="_Toc23442255"/>
      <w:r>
        <w:rPr>
          <w:rFonts w:hint="eastAsia" w:asciiTheme="minorEastAsia" w:hAnsiTheme="minorEastAsia" w:eastAsiaTheme="minorEastAsia" w:cstheme="minorEastAsia"/>
          <w:b/>
          <w:bCs/>
          <w:kern w:val="2"/>
          <w:sz w:val="21"/>
          <w:szCs w:val="21"/>
          <w:lang w:val="en-US" w:eastAsia="zh-CN" w:bidi="ar-SA"/>
        </w:rPr>
        <w:t>图 1-22毕业生接受就业指导服务的比例及有效性评价（多选）</w:t>
      </w:r>
      <w:bookmarkEnd w:id="209"/>
    </w:p>
    <w:p>
      <w:pPr>
        <w:jc w:val="left"/>
        <w:rPr>
          <w:rFonts w:hint="eastAsia" w:asciiTheme="minorEastAsia" w:hAnsiTheme="minorEastAsia" w:eastAsiaTheme="minorEastAsia" w:cstheme="minorEastAsia"/>
          <w:color w:val="000000"/>
          <w:sz w:val="21"/>
          <w:szCs w:val="32"/>
        </w:rPr>
      </w:pPr>
      <w:r>
        <w:rPr>
          <w:rFonts w:hint="eastAsia" w:asciiTheme="minorEastAsia" w:hAnsiTheme="minorEastAsia" w:eastAsiaTheme="minorEastAsia" w:cstheme="minorEastAsia"/>
          <w:color w:val="000000"/>
          <w:sz w:val="21"/>
          <w:szCs w:val="32"/>
        </w:rPr>
        <w:t>数据来源：麦可思-海南外国语职业学院2019届毕业生培养质量评价数据。</w:t>
      </w:r>
    </w:p>
    <w:p>
      <w:pPr>
        <w:rPr>
          <w:rFonts w:hint="eastAsia" w:ascii="Calibri" w:hAnsi="Calibri"/>
        </w:rPr>
      </w:pPr>
    </w:p>
    <w:bookmarkEnd w:id="208"/>
    <w:p>
      <w:pPr>
        <w:spacing w:line="240" w:lineRule="auto"/>
        <w:rPr>
          <w:rFonts w:ascii="Calibri" w:hAnsi="Calibri" w:cs="宋体"/>
          <w:bCs/>
          <w:szCs w:val="21"/>
        </w:rPr>
        <w:sectPr>
          <w:footnotePr>
            <w:numRestart w:val="eachSect"/>
          </w:footnotePr>
          <w:pgSz w:w="11906" w:h="16838"/>
          <w:pgMar w:top="1985" w:right="1531" w:bottom="1701" w:left="1701" w:header="964" w:footer="851" w:gutter="0"/>
          <w:pgNumType w:fmt="decimal"/>
          <w:cols w:space="425" w:num="1"/>
          <w:docGrid w:linePitch="312" w:charSpace="0"/>
        </w:sectPr>
      </w:pPr>
    </w:p>
    <w:p>
      <w:pPr>
        <w:pStyle w:val="3"/>
        <w:bidi w:val="0"/>
        <w:ind w:left="0" w:leftChars="0" w:firstLine="0" w:firstLineChars="0"/>
        <w:rPr>
          <w:rFonts w:hint="eastAsia"/>
        </w:rPr>
      </w:pPr>
      <w:bookmarkStart w:id="210" w:name="_Toc21155"/>
      <w:bookmarkStart w:id="211" w:name="_Toc23434179"/>
      <w:r>
        <w:rPr>
          <w:rFonts w:hint="eastAsia"/>
        </w:rPr>
        <w:t>创新</w:t>
      </w:r>
      <w:r>
        <w:t>创业</w:t>
      </w:r>
      <w:r>
        <w:rPr>
          <w:rFonts w:hint="eastAsia"/>
        </w:rPr>
        <w:t>教育情况</w:t>
      </w:r>
      <w:bookmarkEnd w:id="210"/>
      <w:bookmarkEnd w:id="211"/>
    </w:p>
    <w:p>
      <w:pPr>
        <w:pStyle w:val="4"/>
        <w:bidi w:val="0"/>
        <w:ind w:left="0" w:leftChars="0" w:firstLine="400" w:firstLineChars="0"/>
        <w:rPr>
          <w:rFonts w:hint="eastAsia"/>
        </w:rPr>
      </w:pPr>
      <w:bookmarkStart w:id="212" w:name="_Toc9523"/>
      <w:bookmarkStart w:id="213" w:name="icb_8011"/>
      <w:bookmarkStart w:id="214" w:name="pb_27"/>
      <w:r>
        <w:rPr>
          <w:rFonts w:hint="eastAsia"/>
        </w:rPr>
        <w:t>创新创业</w:t>
      </w:r>
      <w:r>
        <w:t>教育</w:t>
      </w:r>
      <w:r>
        <w:rPr>
          <w:rFonts w:hint="eastAsia"/>
        </w:rPr>
        <w:t>开展效果评价</w:t>
      </w:r>
      <w:bookmarkEnd w:id="212"/>
    </w:p>
    <w:p>
      <w:pPr>
        <w:pStyle w:val="7"/>
        <w:bidi w:val="0"/>
      </w:pPr>
      <w:r>
        <w:rPr>
          <w:rFonts w:hint="eastAsia"/>
        </w:rPr>
        <w:t>创新创业教育的开展有助于培养毕业生的创新意识，同时营造学校创新氛围。本校2019届毕业生接受的创新创业教育主要是创业教学课程（48%），其次是创业辅导活动（44%）。</w:t>
      </w:r>
    </w:p>
    <w:p>
      <w:pPr>
        <w:jc w:val="center"/>
        <w:rPr>
          <w:rFonts w:ascii="Calibri" w:hAnsi="Calibri"/>
        </w:rPr>
      </w:pPr>
      <w:r>
        <w:rPr>
          <w:rFonts w:ascii="Calibri" w:hAnsi="Calibri"/>
        </w:rPr>
        <w:drawing>
          <wp:inline distT="0" distB="0" distL="114300" distR="114300">
            <wp:extent cx="5210175" cy="2514600"/>
            <wp:effectExtent l="0" t="0" r="0" b="0"/>
            <wp:docPr id="131" name="图片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 name="图片 63"/>
                    <pic:cNvPicPr>
                      <a:picLocks noChangeAspect="1"/>
                    </pic:cNvPicPr>
                  </pic:nvPicPr>
                  <pic:blipFill>
                    <a:blip r:embed="rId38"/>
                    <a:stretch>
                      <a:fillRect/>
                    </a:stretch>
                  </pic:blipFill>
                  <pic:spPr>
                    <a:xfrm>
                      <a:off x="0" y="0"/>
                      <a:ext cx="5210175" cy="2514600"/>
                    </a:xfrm>
                    <a:prstGeom prst="rect">
                      <a:avLst/>
                    </a:prstGeom>
                    <a:noFill/>
                    <a:ln>
                      <a:noFill/>
                    </a:ln>
                  </pic:spPr>
                </pic:pic>
              </a:graphicData>
            </a:graphic>
          </wp:inline>
        </w:drawing>
      </w:r>
    </w:p>
    <w:p>
      <w:pPr>
        <w:pStyle w:val="8"/>
        <w:numPr>
          <w:ilvl w:val="0"/>
          <w:numId w:val="0"/>
        </w:numPr>
        <w:spacing w:line="360" w:lineRule="auto"/>
        <w:jc w:val="center"/>
        <w:rPr>
          <w:rFonts w:hint="eastAsia" w:asciiTheme="minorEastAsia" w:hAnsiTheme="minorEastAsia" w:eastAsiaTheme="minorEastAsia" w:cstheme="minorEastAsia"/>
          <w:b/>
          <w:bCs/>
          <w:kern w:val="2"/>
          <w:sz w:val="21"/>
          <w:szCs w:val="21"/>
          <w:lang w:val="en-US" w:eastAsia="zh-CN" w:bidi="ar-SA"/>
        </w:rPr>
      </w:pPr>
      <w:bookmarkStart w:id="215" w:name="_Toc23442256"/>
      <w:r>
        <w:rPr>
          <w:rFonts w:hint="eastAsia" w:asciiTheme="minorEastAsia" w:hAnsiTheme="minorEastAsia" w:eastAsiaTheme="minorEastAsia" w:cstheme="minorEastAsia"/>
          <w:b/>
          <w:bCs/>
          <w:kern w:val="2"/>
          <w:sz w:val="21"/>
          <w:szCs w:val="21"/>
          <w:lang w:val="en-US" w:eastAsia="zh-CN" w:bidi="ar-SA"/>
        </w:rPr>
        <w:t>图 1-23毕业生接受母校提供的创新创业教育及认为其有效的比例（多选）</w:t>
      </w:r>
      <w:bookmarkEnd w:id="215"/>
    </w:p>
    <w:p>
      <w:pPr>
        <w:jc w:val="left"/>
        <w:rPr>
          <w:rFonts w:hint="eastAsia" w:asciiTheme="minorEastAsia" w:hAnsiTheme="minorEastAsia" w:eastAsiaTheme="minorEastAsia" w:cstheme="minorEastAsia"/>
          <w:color w:val="000000"/>
          <w:sz w:val="21"/>
          <w:szCs w:val="32"/>
        </w:rPr>
      </w:pPr>
      <w:r>
        <w:rPr>
          <w:rFonts w:hint="eastAsia" w:asciiTheme="minorEastAsia" w:hAnsiTheme="minorEastAsia" w:eastAsiaTheme="minorEastAsia" w:cstheme="minorEastAsia"/>
          <w:color w:val="000000"/>
          <w:sz w:val="21"/>
          <w:szCs w:val="32"/>
        </w:rPr>
        <w:t>数据来源：麦可思-海南外国语职业学院2019届毕业生培养质量评价数据。</w:t>
      </w:r>
    </w:p>
    <w:p>
      <w:pPr>
        <w:jc w:val="left"/>
        <w:rPr>
          <w:rFonts w:hint="eastAsia" w:asciiTheme="minorEastAsia" w:hAnsiTheme="minorEastAsia" w:eastAsiaTheme="minorEastAsia" w:cstheme="minorEastAsia"/>
          <w:color w:val="000000"/>
          <w:sz w:val="21"/>
          <w:szCs w:val="32"/>
        </w:rPr>
      </w:pPr>
    </w:p>
    <w:bookmarkEnd w:id="213"/>
    <w:p>
      <w:pPr>
        <w:pStyle w:val="7"/>
        <w:bidi w:val="0"/>
      </w:pPr>
      <w:bookmarkStart w:id="216" w:name="icb_8012"/>
      <w:r>
        <w:rPr>
          <w:rFonts w:hint="eastAsia"/>
        </w:rPr>
        <w:t>本校2019届毕业生认为创新创业教育最需要改进的地方是“创新创业实践类活动不足”（51%），其次是“创新创业教育课程缺乏”、“教学方法不适用于创新创业教育”（均为37%）。</w:t>
      </w:r>
    </w:p>
    <w:p>
      <w:pPr>
        <w:jc w:val="center"/>
        <w:rPr>
          <w:rFonts w:ascii="Calibri" w:hAnsi="Calibri"/>
        </w:rPr>
      </w:pPr>
      <w:r>
        <w:rPr>
          <w:rFonts w:ascii="Calibri" w:hAnsi="Calibri"/>
        </w:rPr>
        <w:drawing>
          <wp:inline distT="0" distB="0" distL="114300" distR="114300">
            <wp:extent cx="5067300" cy="2781300"/>
            <wp:effectExtent l="0" t="0" r="0" b="0"/>
            <wp:docPr id="130" name="图片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 name="图片 64"/>
                    <pic:cNvPicPr>
                      <a:picLocks noChangeAspect="1"/>
                    </pic:cNvPicPr>
                  </pic:nvPicPr>
                  <pic:blipFill>
                    <a:blip r:embed="rId39"/>
                    <a:stretch>
                      <a:fillRect/>
                    </a:stretch>
                  </pic:blipFill>
                  <pic:spPr>
                    <a:xfrm>
                      <a:off x="0" y="0"/>
                      <a:ext cx="5067300" cy="2781300"/>
                    </a:xfrm>
                    <a:prstGeom prst="rect">
                      <a:avLst/>
                    </a:prstGeom>
                    <a:noFill/>
                    <a:ln>
                      <a:noFill/>
                    </a:ln>
                  </pic:spPr>
                </pic:pic>
              </a:graphicData>
            </a:graphic>
          </wp:inline>
        </w:drawing>
      </w:r>
    </w:p>
    <w:p>
      <w:pPr>
        <w:pStyle w:val="8"/>
        <w:numPr>
          <w:ilvl w:val="0"/>
          <w:numId w:val="0"/>
        </w:numPr>
        <w:spacing w:line="360" w:lineRule="auto"/>
        <w:jc w:val="center"/>
        <w:rPr>
          <w:rFonts w:hint="eastAsia" w:asciiTheme="minorEastAsia" w:hAnsiTheme="minorEastAsia" w:eastAsiaTheme="minorEastAsia" w:cstheme="minorEastAsia"/>
          <w:b/>
          <w:bCs/>
          <w:kern w:val="2"/>
          <w:sz w:val="21"/>
          <w:szCs w:val="21"/>
          <w:lang w:val="en-US" w:eastAsia="zh-CN" w:bidi="ar-SA"/>
        </w:rPr>
      </w:pPr>
      <w:bookmarkStart w:id="217" w:name="_Toc23442257"/>
      <w:r>
        <w:rPr>
          <w:rFonts w:hint="eastAsia" w:asciiTheme="minorEastAsia" w:hAnsiTheme="minorEastAsia" w:eastAsiaTheme="minorEastAsia" w:cstheme="minorEastAsia"/>
          <w:b/>
          <w:bCs/>
          <w:kern w:val="2"/>
          <w:sz w:val="21"/>
          <w:szCs w:val="21"/>
          <w:lang w:val="en-US" w:eastAsia="zh-CN" w:bidi="ar-SA"/>
        </w:rPr>
        <w:t>图 1-24创新创业教育改进需求（多选）</w:t>
      </w:r>
      <w:bookmarkEnd w:id="217"/>
    </w:p>
    <w:p>
      <w:pPr>
        <w:jc w:val="left"/>
        <w:rPr>
          <w:rFonts w:hint="eastAsia" w:asciiTheme="minorEastAsia" w:hAnsiTheme="minorEastAsia" w:eastAsiaTheme="minorEastAsia" w:cstheme="minorEastAsia"/>
          <w:color w:val="000000"/>
          <w:sz w:val="21"/>
          <w:szCs w:val="32"/>
        </w:rPr>
      </w:pPr>
      <w:r>
        <w:rPr>
          <w:rFonts w:hint="eastAsia" w:asciiTheme="minorEastAsia" w:hAnsiTheme="minorEastAsia" w:eastAsiaTheme="minorEastAsia" w:cstheme="minorEastAsia"/>
          <w:color w:val="000000"/>
          <w:sz w:val="21"/>
          <w:szCs w:val="32"/>
        </w:rPr>
        <w:t>数据来源：麦可思-海南外国语职业学院2019届毕业生培养质量评价数据。</w:t>
      </w:r>
    </w:p>
    <w:bookmarkEnd w:id="214"/>
    <w:bookmarkEnd w:id="216"/>
    <w:p>
      <w:pPr>
        <w:pStyle w:val="4"/>
        <w:bidi w:val="0"/>
        <w:ind w:left="0" w:leftChars="0" w:firstLine="400" w:firstLineChars="0"/>
      </w:pPr>
      <w:bookmarkStart w:id="218" w:name="_Toc21047"/>
      <w:bookmarkStart w:id="219" w:name="pb_28"/>
      <w:r>
        <w:rPr>
          <w:rFonts w:hint="eastAsia"/>
        </w:rPr>
        <w:t>创业教育对毕业生创业能力、知识和素养方面的影响</w:t>
      </w:r>
      <w:bookmarkEnd w:id="218"/>
    </w:p>
    <w:bookmarkEnd w:id="219"/>
    <w:p>
      <w:pPr>
        <w:pStyle w:val="7"/>
        <w:bidi w:val="0"/>
      </w:pPr>
      <w:r>
        <w:rPr>
          <w:rFonts w:hint="eastAsia"/>
        </w:rPr>
        <w:t>本校2019届毕业生中分别有52%、46%、44%的人认为创业教育对“树立科学的创业观（如：创新意识、职业操守、意志品质及社会责任等）”、“掌握开展创业活动所需要的基本知识”、“掌握创业必备的能力（如：创业资源整合、商业计划书撰写、企业管理方法等）”方面“非常有帮助”或“有帮助”。</w:t>
      </w:r>
    </w:p>
    <w:p>
      <w:pPr>
        <w:jc w:val="center"/>
        <w:rPr>
          <w:rFonts w:ascii="Calibri" w:hAnsi="Calibri" w:cs="Arial"/>
          <w:kern w:val="0"/>
          <w:sz w:val="18"/>
          <w:szCs w:val="18"/>
        </w:rPr>
      </w:pPr>
      <w:r>
        <w:rPr>
          <w:rFonts w:ascii="Calibri" w:hAnsi="Calibri" w:cs="Arial"/>
          <w:kern w:val="0"/>
          <w:sz w:val="18"/>
          <w:szCs w:val="18"/>
        </w:rPr>
        <w:drawing>
          <wp:inline distT="0" distB="0" distL="114300" distR="114300">
            <wp:extent cx="5210175" cy="2438400"/>
            <wp:effectExtent l="0" t="0" r="0" b="0"/>
            <wp:docPr id="129" name="图片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 name="图片 65"/>
                    <pic:cNvPicPr>
                      <a:picLocks noChangeAspect="1"/>
                    </pic:cNvPicPr>
                  </pic:nvPicPr>
                  <pic:blipFill>
                    <a:blip r:embed="rId40"/>
                    <a:stretch>
                      <a:fillRect/>
                    </a:stretch>
                  </pic:blipFill>
                  <pic:spPr>
                    <a:xfrm>
                      <a:off x="0" y="0"/>
                      <a:ext cx="5210175" cy="2438400"/>
                    </a:xfrm>
                    <a:prstGeom prst="rect">
                      <a:avLst/>
                    </a:prstGeom>
                    <a:noFill/>
                    <a:ln>
                      <a:noFill/>
                    </a:ln>
                  </pic:spPr>
                </pic:pic>
              </a:graphicData>
            </a:graphic>
          </wp:inline>
        </w:drawing>
      </w:r>
    </w:p>
    <w:p>
      <w:pPr>
        <w:pStyle w:val="8"/>
        <w:numPr>
          <w:ilvl w:val="0"/>
          <w:numId w:val="0"/>
        </w:numPr>
        <w:spacing w:line="360" w:lineRule="auto"/>
        <w:jc w:val="center"/>
        <w:rPr>
          <w:rFonts w:hint="eastAsia" w:asciiTheme="minorEastAsia" w:hAnsiTheme="minorEastAsia" w:eastAsiaTheme="minorEastAsia" w:cstheme="minorEastAsia"/>
          <w:b/>
          <w:bCs/>
          <w:kern w:val="2"/>
          <w:sz w:val="21"/>
          <w:szCs w:val="21"/>
          <w:lang w:val="en-US" w:eastAsia="zh-CN" w:bidi="ar-SA"/>
        </w:rPr>
      </w:pPr>
      <w:bookmarkStart w:id="220" w:name="_Toc23442258"/>
      <w:r>
        <w:rPr>
          <w:rFonts w:hint="eastAsia" w:asciiTheme="minorEastAsia" w:hAnsiTheme="minorEastAsia" w:eastAsiaTheme="minorEastAsia" w:cstheme="minorEastAsia"/>
          <w:b/>
          <w:bCs/>
          <w:kern w:val="2"/>
          <w:sz w:val="21"/>
          <w:szCs w:val="21"/>
          <w:lang w:val="en-US" w:eastAsia="zh-CN" w:bidi="ar-SA"/>
        </w:rPr>
        <w:t>图 1-25创业教育对毕业生创业能力、知识和素养方面的影响</w:t>
      </w:r>
      <w:bookmarkEnd w:id="220"/>
    </w:p>
    <w:p>
      <w:pPr>
        <w:jc w:val="left"/>
        <w:rPr>
          <w:rFonts w:hint="eastAsia" w:asciiTheme="minorEastAsia" w:hAnsiTheme="minorEastAsia" w:eastAsiaTheme="minorEastAsia" w:cstheme="minorEastAsia"/>
          <w:color w:val="000000"/>
          <w:sz w:val="21"/>
          <w:szCs w:val="32"/>
        </w:rPr>
        <w:sectPr>
          <w:footnotePr>
            <w:numRestart w:val="eachPage"/>
          </w:footnotePr>
          <w:pgSz w:w="11906" w:h="16838"/>
          <w:pgMar w:top="1985" w:right="1531" w:bottom="1701" w:left="1701" w:header="964" w:footer="851" w:gutter="0"/>
          <w:pgNumType w:fmt="decimal"/>
          <w:cols w:space="425" w:num="1"/>
          <w:docGrid w:linePitch="312" w:charSpace="0"/>
        </w:sectPr>
      </w:pPr>
      <w:r>
        <w:rPr>
          <w:rFonts w:hint="eastAsia" w:asciiTheme="minorEastAsia" w:hAnsiTheme="minorEastAsia" w:eastAsiaTheme="minorEastAsia" w:cstheme="minorEastAsia"/>
          <w:color w:val="000000"/>
          <w:sz w:val="21"/>
          <w:szCs w:val="32"/>
        </w:rPr>
        <w:t>数据来源：麦可思-海南外国语职业学院2019届毕业生培养质量评价数据。</w:t>
      </w:r>
      <w:bookmarkStart w:id="221" w:name="毕业生对就业指导服务的总体满意度_单届"/>
      <w:bookmarkEnd w:id="221"/>
      <w:bookmarkStart w:id="222" w:name="续各专业毕业生获得职业资格证书的比例_1"/>
      <w:bookmarkEnd w:id="222"/>
      <w:bookmarkStart w:id="223" w:name="求职服务参与度及有效性"/>
      <w:bookmarkEnd w:id="223"/>
      <w:bookmarkStart w:id="224" w:name="创业教育对毕业生创业能力、知识和素养方面的影响"/>
      <w:bookmarkEnd w:id="224"/>
      <w:bookmarkStart w:id="225" w:name="_Toc274381385"/>
    </w:p>
    <w:p>
      <w:pPr>
        <w:pStyle w:val="2"/>
        <w:bidi w:val="0"/>
        <w:ind w:left="0" w:leftChars="0" w:firstLine="0" w:firstLineChars="0"/>
        <w:rPr>
          <w:rFonts w:hint="eastAsia"/>
        </w:rPr>
      </w:pPr>
      <w:bookmarkStart w:id="226" w:name="_Toc532230101"/>
      <w:bookmarkStart w:id="227" w:name="_Toc436646125"/>
      <w:bookmarkStart w:id="228" w:name="_Toc8831_WPSOffice_Level1"/>
      <w:bookmarkStart w:id="229" w:name="_Toc532230171"/>
      <w:bookmarkStart w:id="230" w:name="_Toc20987_WPSOffice_Level1"/>
      <w:bookmarkStart w:id="231" w:name="_Toc382296135"/>
      <w:bookmarkStart w:id="232" w:name="_Toc382296214"/>
      <w:bookmarkStart w:id="233" w:name="_Toc3973"/>
      <w:bookmarkStart w:id="234" w:name="_Toc24255"/>
      <w:r>
        <w:rPr>
          <w:rFonts w:hint="eastAsia"/>
        </w:rPr>
        <w:t>就业相关分析</w:t>
      </w:r>
      <w:bookmarkEnd w:id="226"/>
      <w:bookmarkEnd w:id="227"/>
      <w:bookmarkEnd w:id="228"/>
      <w:bookmarkEnd w:id="229"/>
      <w:bookmarkEnd w:id="230"/>
      <w:bookmarkEnd w:id="231"/>
      <w:bookmarkEnd w:id="232"/>
      <w:bookmarkEnd w:id="233"/>
      <w:bookmarkEnd w:id="234"/>
    </w:p>
    <w:p>
      <w:pPr>
        <w:rPr>
          <w:rFonts w:hint="eastAsia"/>
        </w:rPr>
      </w:pPr>
    </w:p>
    <w:p>
      <w:pPr>
        <w:pStyle w:val="3"/>
        <w:bidi w:val="0"/>
        <w:ind w:left="0" w:leftChars="0" w:firstLine="0" w:firstLineChars="0"/>
        <w:rPr>
          <w:rFonts w:hint="eastAsia"/>
        </w:rPr>
      </w:pPr>
      <w:bookmarkStart w:id="235" w:name="_Toc23434181"/>
      <w:bookmarkStart w:id="236" w:name="_Toc14689"/>
      <w:bookmarkStart w:id="237" w:name="pb_30"/>
      <w:r>
        <w:rPr>
          <w:rFonts w:hint="eastAsia"/>
        </w:rPr>
        <w:t>收入分析</w:t>
      </w:r>
      <w:bookmarkEnd w:id="235"/>
      <w:bookmarkEnd w:id="236"/>
    </w:p>
    <w:p>
      <w:pPr>
        <w:pStyle w:val="4"/>
        <w:bidi w:val="0"/>
        <w:ind w:left="0" w:leftChars="0" w:firstLine="400" w:firstLineChars="0"/>
        <w:rPr>
          <w:rFonts w:hint="eastAsia"/>
        </w:rPr>
      </w:pPr>
      <w:bookmarkStart w:id="238" w:name="_Toc14331"/>
      <w:bookmarkStart w:id="239" w:name="icb_53"/>
      <w:bookmarkStart w:id="240" w:name="pb_510"/>
      <w:r>
        <w:rPr>
          <w:rFonts w:hint="eastAsia"/>
        </w:rPr>
        <w:t>毕业生的月收入</w:t>
      </w:r>
      <w:bookmarkEnd w:id="238"/>
    </w:p>
    <w:p>
      <w:pPr>
        <w:pStyle w:val="7"/>
        <w:bidi w:val="0"/>
      </w:pPr>
      <w:r>
        <w:rPr>
          <w:rFonts w:hint="eastAsia"/>
        </w:rPr>
        <w:t>本校2019届毕业生的月收入为3976元。</w:t>
      </w:r>
    </w:p>
    <w:p>
      <w:pPr>
        <w:jc w:val="center"/>
        <w:rPr>
          <w:rFonts w:ascii="Calibri" w:hAnsi="Calibri"/>
          <w:b/>
          <w:szCs w:val="21"/>
        </w:rPr>
      </w:pPr>
      <w:r>
        <w:rPr>
          <w:rFonts w:ascii="Calibri" w:hAnsi="Calibri"/>
        </w:rPr>
        <w:drawing>
          <wp:inline distT="0" distB="0" distL="114300" distR="114300">
            <wp:extent cx="5210175" cy="2514600"/>
            <wp:effectExtent l="0" t="0" r="9525" b="0"/>
            <wp:docPr id="7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图片 1"/>
                    <pic:cNvPicPr>
                      <a:picLocks noChangeAspect="1"/>
                    </pic:cNvPicPr>
                  </pic:nvPicPr>
                  <pic:blipFill>
                    <a:blip r:embed="rId41"/>
                    <a:stretch>
                      <a:fillRect/>
                    </a:stretch>
                  </pic:blipFill>
                  <pic:spPr>
                    <a:xfrm>
                      <a:off x="0" y="0"/>
                      <a:ext cx="5210175" cy="2514600"/>
                    </a:xfrm>
                    <a:prstGeom prst="rect">
                      <a:avLst/>
                    </a:prstGeom>
                    <a:noFill/>
                    <a:ln>
                      <a:noFill/>
                    </a:ln>
                  </pic:spPr>
                </pic:pic>
              </a:graphicData>
            </a:graphic>
          </wp:inline>
        </w:drawing>
      </w:r>
    </w:p>
    <w:p>
      <w:pPr>
        <w:pStyle w:val="8"/>
        <w:numPr>
          <w:ilvl w:val="0"/>
          <w:numId w:val="0"/>
        </w:numPr>
        <w:spacing w:line="360" w:lineRule="auto"/>
        <w:jc w:val="center"/>
        <w:rPr>
          <w:rFonts w:hint="eastAsia" w:asciiTheme="minorEastAsia" w:hAnsiTheme="minorEastAsia" w:eastAsiaTheme="minorEastAsia" w:cstheme="minorEastAsia"/>
          <w:b/>
          <w:bCs/>
          <w:kern w:val="2"/>
          <w:sz w:val="21"/>
          <w:szCs w:val="21"/>
          <w:lang w:val="en-US" w:eastAsia="zh-CN" w:bidi="ar-SA"/>
        </w:rPr>
      </w:pPr>
      <w:bookmarkStart w:id="241" w:name="_Toc23442260"/>
      <w:r>
        <w:rPr>
          <w:rFonts w:hint="eastAsia" w:asciiTheme="minorEastAsia" w:hAnsiTheme="minorEastAsia" w:eastAsiaTheme="minorEastAsia" w:cstheme="minorEastAsia"/>
          <w:b/>
          <w:bCs/>
          <w:kern w:val="2"/>
          <w:sz w:val="21"/>
          <w:szCs w:val="21"/>
          <w:lang w:val="en-US" w:eastAsia="zh-CN" w:bidi="ar-SA"/>
        </w:rPr>
        <w:t>图 2-1毕业生的月收入</w:t>
      </w:r>
      <w:bookmarkEnd w:id="241"/>
    </w:p>
    <w:p>
      <w:pPr>
        <w:jc w:val="left"/>
        <w:rPr>
          <w:rFonts w:hint="eastAsia" w:asciiTheme="minorEastAsia" w:hAnsiTheme="minorEastAsia" w:eastAsiaTheme="minorEastAsia" w:cstheme="minorEastAsia"/>
          <w:color w:val="000000"/>
          <w:sz w:val="21"/>
          <w:szCs w:val="32"/>
        </w:rPr>
      </w:pPr>
      <w:r>
        <w:rPr>
          <w:rFonts w:hint="eastAsia" w:asciiTheme="minorEastAsia" w:hAnsiTheme="minorEastAsia" w:eastAsiaTheme="minorEastAsia" w:cstheme="minorEastAsia"/>
          <w:color w:val="000000"/>
          <w:sz w:val="21"/>
          <w:szCs w:val="32"/>
        </w:rPr>
        <w:t>数据来源：麦可思-海南外国语职业学院2019届毕业生培养质量评价数据。</w:t>
      </w:r>
    </w:p>
    <w:p>
      <w:pPr>
        <w:spacing w:line="240" w:lineRule="auto"/>
        <w:rPr>
          <w:rFonts w:hint="eastAsia" w:ascii="Calibri" w:hAnsi="Calibri" w:cs="Arial"/>
          <w:kern w:val="0"/>
          <w:sz w:val="18"/>
          <w:szCs w:val="18"/>
        </w:rPr>
      </w:pPr>
    </w:p>
    <w:bookmarkEnd w:id="239"/>
    <w:p>
      <w:pPr>
        <w:spacing w:line="240" w:lineRule="auto"/>
        <w:rPr>
          <w:rFonts w:ascii="Calibri" w:hAnsi="Calibri" w:cs="Arial"/>
          <w:kern w:val="0"/>
          <w:sz w:val="18"/>
          <w:szCs w:val="18"/>
        </w:rPr>
      </w:pPr>
    </w:p>
    <w:p>
      <w:pPr>
        <w:rPr>
          <w:rFonts w:ascii="Calibri" w:hAnsi="Calibri"/>
        </w:rPr>
        <w:sectPr>
          <w:pgSz w:w="11907" w:h="16839"/>
          <w:pgMar w:top="1985" w:right="1531" w:bottom="1701" w:left="1701" w:header="964" w:footer="851" w:gutter="0"/>
          <w:pgNumType w:fmt="decimal"/>
          <w:cols w:space="425" w:num="1"/>
          <w:docGrid w:linePitch="312" w:charSpace="0"/>
        </w:sectPr>
      </w:pPr>
    </w:p>
    <w:bookmarkEnd w:id="240"/>
    <w:p>
      <w:pPr>
        <w:pStyle w:val="4"/>
        <w:bidi w:val="0"/>
        <w:ind w:left="0" w:leftChars="0" w:firstLine="400" w:firstLineChars="0"/>
        <w:rPr>
          <w:rFonts w:hint="eastAsia"/>
        </w:rPr>
      </w:pPr>
      <w:bookmarkStart w:id="242" w:name="_Toc8984"/>
      <w:bookmarkStart w:id="243" w:name="pb_32"/>
      <w:bookmarkStart w:id="244" w:name="icb_55"/>
      <w:r>
        <w:t>各院系及专业</w:t>
      </w:r>
      <w:r>
        <w:rPr>
          <w:rFonts w:hint="eastAsia"/>
          <w:lang w:eastAsia="zh-CN"/>
        </w:rPr>
        <w:t>毕业生</w:t>
      </w:r>
      <w:r>
        <w:t>的</w:t>
      </w:r>
      <w:r>
        <w:rPr>
          <w:rFonts w:hint="eastAsia"/>
        </w:rPr>
        <w:t>月收入</w:t>
      </w:r>
      <w:bookmarkEnd w:id="242"/>
    </w:p>
    <w:p>
      <w:pPr>
        <w:pStyle w:val="7"/>
        <w:bidi w:val="0"/>
      </w:pPr>
      <w:r>
        <w:rPr>
          <w:rFonts w:hint="eastAsia"/>
        </w:rPr>
        <w:t>本校2019届毕业生中，西语系、东语系、国际商务系、英语系、旅游系的月收入为4837元、4394元、4190元、3646元、3416元。</w:t>
      </w:r>
    </w:p>
    <w:p>
      <w:pPr>
        <w:jc w:val="center"/>
        <w:rPr>
          <w:rFonts w:hint="eastAsia" w:ascii="Calibri" w:hAnsi="Calibri" w:cs="Arial"/>
        </w:rPr>
      </w:pPr>
      <w:r>
        <w:rPr>
          <w:rFonts w:ascii="Calibri" w:hAnsi="Calibri"/>
        </w:rPr>
        <w:drawing>
          <wp:inline distT="0" distB="0" distL="114300" distR="114300">
            <wp:extent cx="5210175" cy="3924300"/>
            <wp:effectExtent l="0" t="0" r="0" b="0"/>
            <wp:docPr id="7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图片 2"/>
                    <pic:cNvPicPr>
                      <a:picLocks noChangeAspect="1"/>
                    </pic:cNvPicPr>
                  </pic:nvPicPr>
                  <pic:blipFill>
                    <a:blip r:embed="rId42"/>
                    <a:stretch>
                      <a:fillRect/>
                    </a:stretch>
                  </pic:blipFill>
                  <pic:spPr>
                    <a:xfrm>
                      <a:off x="0" y="0"/>
                      <a:ext cx="5210175" cy="3924300"/>
                    </a:xfrm>
                    <a:prstGeom prst="rect">
                      <a:avLst/>
                    </a:prstGeom>
                    <a:noFill/>
                    <a:ln>
                      <a:noFill/>
                    </a:ln>
                  </pic:spPr>
                </pic:pic>
              </a:graphicData>
            </a:graphic>
          </wp:inline>
        </w:drawing>
      </w:r>
    </w:p>
    <w:p>
      <w:pPr>
        <w:pStyle w:val="8"/>
        <w:numPr>
          <w:ilvl w:val="0"/>
          <w:numId w:val="0"/>
        </w:numPr>
        <w:spacing w:line="360" w:lineRule="auto"/>
        <w:jc w:val="center"/>
        <w:rPr>
          <w:rFonts w:hint="eastAsia" w:asciiTheme="minorEastAsia" w:hAnsiTheme="minorEastAsia" w:eastAsiaTheme="minorEastAsia" w:cstheme="minorEastAsia"/>
          <w:b/>
          <w:bCs/>
          <w:kern w:val="2"/>
          <w:sz w:val="21"/>
          <w:szCs w:val="21"/>
          <w:lang w:val="en-US" w:eastAsia="zh-CN" w:bidi="ar-SA"/>
        </w:rPr>
      </w:pPr>
      <w:bookmarkStart w:id="245" w:name="_Toc23442261"/>
      <w:r>
        <w:rPr>
          <w:rFonts w:hint="eastAsia" w:asciiTheme="minorEastAsia" w:hAnsiTheme="minorEastAsia" w:eastAsiaTheme="minorEastAsia" w:cstheme="minorEastAsia"/>
          <w:b/>
          <w:bCs/>
          <w:kern w:val="2"/>
          <w:sz w:val="21"/>
          <w:szCs w:val="21"/>
          <w:lang w:val="en-US" w:eastAsia="zh-CN" w:bidi="ar-SA"/>
        </w:rPr>
        <w:t>图 2-2各院系毕业生的月收入</w:t>
      </w:r>
      <w:bookmarkEnd w:id="245"/>
    </w:p>
    <w:p>
      <w:pPr>
        <w:jc w:val="left"/>
        <w:rPr>
          <w:rFonts w:hint="eastAsia" w:asciiTheme="minorEastAsia" w:hAnsiTheme="minorEastAsia" w:eastAsiaTheme="minorEastAsia" w:cstheme="minorEastAsia"/>
          <w:color w:val="000000"/>
          <w:sz w:val="21"/>
          <w:szCs w:val="32"/>
        </w:rPr>
      </w:pPr>
      <w:r>
        <w:rPr>
          <w:rFonts w:hint="eastAsia" w:asciiTheme="minorEastAsia" w:hAnsiTheme="minorEastAsia" w:eastAsiaTheme="minorEastAsia" w:cstheme="minorEastAsia"/>
          <w:color w:val="000000"/>
          <w:sz w:val="21"/>
          <w:szCs w:val="32"/>
        </w:rPr>
        <w:t>注：个别院系因样本较少没有包括在内。</w:t>
      </w:r>
    </w:p>
    <w:p>
      <w:pPr>
        <w:jc w:val="left"/>
        <w:rPr>
          <w:rFonts w:hint="eastAsia" w:asciiTheme="minorEastAsia" w:hAnsiTheme="minorEastAsia" w:eastAsiaTheme="minorEastAsia" w:cstheme="minorEastAsia"/>
          <w:color w:val="000000"/>
          <w:sz w:val="21"/>
          <w:szCs w:val="32"/>
        </w:rPr>
      </w:pPr>
      <w:r>
        <w:rPr>
          <w:rFonts w:hint="eastAsia" w:asciiTheme="minorEastAsia" w:hAnsiTheme="minorEastAsia" w:eastAsiaTheme="minorEastAsia" w:cstheme="minorEastAsia"/>
          <w:color w:val="000000"/>
          <w:sz w:val="21"/>
          <w:szCs w:val="32"/>
        </w:rPr>
        <w:t>数据来源：麦可思-海南外国语职业学院2019届毕业生培养质量评价数据。</w:t>
      </w:r>
    </w:p>
    <w:p>
      <w:pPr>
        <w:ind w:hanging="142"/>
        <w:rPr>
          <w:rFonts w:ascii="Calibri" w:hAnsi="Calibri" w:cs="Arial"/>
        </w:rPr>
      </w:pPr>
    </w:p>
    <w:bookmarkEnd w:id="243"/>
    <w:bookmarkEnd w:id="244"/>
    <w:p>
      <w:pPr>
        <w:pStyle w:val="7"/>
        <w:bidi w:val="0"/>
        <w:rPr>
          <w:rFonts w:ascii="Calibri" w:hAnsi="Calibri"/>
        </w:rPr>
      </w:pPr>
      <w:bookmarkStart w:id="246" w:name="icb_8014"/>
      <w:r>
        <w:rPr>
          <w:rFonts w:ascii="Calibri" w:hAnsi="Calibri"/>
        </w:rPr>
        <w:br w:type="page"/>
      </w:r>
      <w:r>
        <w:rPr>
          <w:rFonts w:hint="eastAsia" w:ascii="Calibri" w:hAnsi="Calibri"/>
        </w:rPr>
        <w:t>本校2019届毕业生月收入较高的专业是应用法语（5671元）、电子商务（4933元）、应用西班牙语（4829元），月收入较低的专业是旅游管理（航天旅游文化）（2929元）、酒店管理（2979元）、商务英语（3075元）。</w:t>
      </w:r>
    </w:p>
    <w:p>
      <w:pPr>
        <w:jc w:val="center"/>
        <w:rPr>
          <w:rFonts w:ascii="Calibri" w:hAnsi="Calibri"/>
        </w:rPr>
      </w:pPr>
      <w:r>
        <w:rPr>
          <w:rFonts w:ascii="Calibri" w:hAnsi="Calibri"/>
        </w:rPr>
        <w:drawing>
          <wp:inline distT="0" distB="0" distL="114300" distR="114300">
            <wp:extent cx="5210175" cy="5962650"/>
            <wp:effectExtent l="0" t="0" r="0" b="0"/>
            <wp:docPr id="80"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图片 3"/>
                    <pic:cNvPicPr>
                      <a:picLocks noChangeAspect="1"/>
                    </pic:cNvPicPr>
                  </pic:nvPicPr>
                  <pic:blipFill>
                    <a:blip r:embed="rId43"/>
                    <a:stretch>
                      <a:fillRect/>
                    </a:stretch>
                  </pic:blipFill>
                  <pic:spPr>
                    <a:xfrm>
                      <a:off x="0" y="0"/>
                      <a:ext cx="5210175" cy="5962650"/>
                    </a:xfrm>
                    <a:prstGeom prst="rect">
                      <a:avLst/>
                    </a:prstGeom>
                    <a:noFill/>
                    <a:ln>
                      <a:noFill/>
                    </a:ln>
                  </pic:spPr>
                </pic:pic>
              </a:graphicData>
            </a:graphic>
          </wp:inline>
        </w:drawing>
      </w:r>
    </w:p>
    <w:p>
      <w:pPr>
        <w:pStyle w:val="8"/>
        <w:numPr>
          <w:ilvl w:val="0"/>
          <w:numId w:val="0"/>
        </w:numPr>
        <w:spacing w:line="360" w:lineRule="auto"/>
        <w:jc w:val="center"/>
        <w:rPr>
          <w:rFonts w:hint="eastAsia" w:asciiTheme="minorEastAsia" w:hAnsiTheme="minorEastAsia" w:eastAsiaTheme="minorEastAsia" w:cstheme="minorEastAsia"/>
          <w:b/>
          <w:bCs/>
          <w:kern w:val="2"/>
          <w:sz w:val="21"/>
          <w:szCs w:val="21"/>
          <w:lang w:val="en-US" w:eastAsia="zh-CN" w:bidi="ar-SA"/>
        </w:rPr>
      </w:pPr>
      <w:bookmarkStart w:id="247" w:name="_Toc23442262"/>
      <w:r>
        <w:rPr>
          <w:rFonts w:hint="eastAsia" w:asciiTheme="minorEastAsia" w:hAnsiTheme="minorEastAsia" w:eastAsiaTheme="minorEastAsia" w:cstheme="minorEastAsia"/>
          <w:b/>
          <w:bCs/>
          <w:kern w:val="2"/>
          <w:sz w:val="21"/>
          <w:szCs w:val="21"/>
          <w:lang w:val="en-US" w:eastAsia="zh-CN" w:bidi="ar-SA"/>
        </w:rPr>
        <w:t>图 2-3各专业毕业生的月收入</w:t>
      </w:r>
      <w:bookmarkEnd w:id="247"/>
    </w:p>
    <w:p>
      <w:pPr>
        <w:jc w:val="left"/>
        <w:rPr>
          <w:rFonts w:hint="eastAsia" w:asciiTheme="minorEastAsia" w:hAnsiTheme="minorEastAsia" w:eastAsiaTheme="minorEastAsia" w:cstheme="minorEastAsia"/>
          <w:color w:val="000000"/>
          <w:sz w:val="21"/>
          <w:szCs w:val="32"/>
        </w:rPr>
      </w:pPr>
      <w:r>
        <w:rPr>
          <w:rFonts w:hint="eastAsia" w:asciiTheme="minorEastAsia" w:hAnsiTheme="minorEastAsia" w:eastAsiaTheme="minorEastAsia" w:cstheme="minorEastAsia"/>
          <w:color w:val="000000"/>
          <w:sz w:val="21"/>
          <w:szCs w:val="32"/>
        </w:rPr>
        <w:t>注：个别专业因样本较少没有包括在内。</w:t>
      </w:r>
    </w:p>
    <w:p>
      <w:pPr>
        <w:jc w:val="left"/>
        <w:rPr>
          <w:rFonts w:hint="eastAsia" w:asciiTheme="minorEastAsia" w:hAnsiTheme="minorEastAsia" w:eastAsiaTheme="minorEastAsia" w:cstheme="minorEastAsia"/>
          <w:color w:val="000000"/>
          <w:sz w:val="21"/>
          <w:szCs w:val="32"/>
        </w:rPr>
      </w:pPr>
      <w:r>
        <w:rPr>
          <w:rFonts w:hint="eastAsia" w:asciiTheme="minorEastAsia" w:hAnsiTheme="minorEastAsia" w:eastAsiaTheme="minorEastAsia" w:cstheme="minorEastAsia"/>
          <w:color w:val="000000"/>
          <w:sz w:val="21"/>
          <w:szCs w:val="32"/>
        </w:rPr>
        <w:t>数据来源：麦可思-海南外国语职业学院2019届毕业生培养质量评价数据。</w:t>
      </w:r>
    </w:p>
    <w:p>
      <w:pPr>
        <w:jc w:val="left"/>
        <w:rPr>
          <w:rFonts w:hint="eastAsia" w:asciiTheme="minorEastAsia" w:hAnsiTheme="minorEastAsia" w:eastAsiaTheme="minorEastAsia" w:cstheme="minorEastAsia"/>
          <w:color w:val="000000"/>
          <w:sz w:val="21"/>
          <w:szCs w:val="32"/>
        </w:rPr>
        <w:sectPr>
          <w:footnotePr>
            <w:numRestart w:val="eachPage"/>
          </w:footnotePr>
          <w:pgSz w:w="11906" w:h="16838"/>
          <w:pgMar w:top="1985" w:right="1531" w:bottom="1701" w:left="1701" w:header="964" w:footer="851" w:gutter="0"/>
          <w:pgNumType w:fmt="decimal"/>
          <w:cols w:space="425" w:num="1"/>
          <w:docGrid w:linePitch="312" w:charSpace="0"/>
        </w:sectPr>
      </w:pPr>
    </w:p>
    <w:p>
      <w:pPr>
        <w:jc w:val="center"/>
        <w:rPr>
          <w:rFonts w:ascii="Calibri" w:hAnsi="Calibri"/>
        </w:rPr>
      </w:pPr>
      <w:r>
        <w:rPr>
          <w:rFonts w:ascii="Calibri" w:hAnsi="Calibri"/>
        </w:rPr>
        <w:drawing>
          <wp:inline distT="0" distB="0" distL="114300" distR="114300">
            <wp:extent cx="5210175" cy="5542915"/>
            <wp:effectExtent l="0" t="0" r="0" b="0"/>
            <wp:docPr id="8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图片 4"/>
                    <pic:cNvPicPr>
                      <a:picLocks noChangeAspect="1"/>
                    </pic:cNvPicPr>
                  </pic:nvPicPr>
                  <pic:blipFill>
                    <a:blip r:embed="rId44"/>
                    <a:stretch>
                      <a:fillRect/>
                    </a:stretch>
                  </pic:blipFill>
                  <pic:spPr>
                    <a:xfrm>
                      <a:off x="0" y="0"/>
                      <a:ext cx="5210175" cy="5542915"/>
                    </a:xfrm>
                    <a:prstGeom prst="rect">
                      <a:avLst/>
                    </a:prstGeom>
                    <a:noFill/>
                    <a:ln>
                      <a:noFill/>
                    </a:ln>
                  </pic:spPr>
                </pic:pic>
              </a:graphicData>
            </a:graphic>
          </wp:inline>
        </w:drawing>
      </w:r>
    </w:p>
    <w:p>
      <w:pPr>
        <w:pStyle w:val="8"/>
        <w:numPr>
          <w:ilvl w:val="0"/>
          <w:numId w:val="0"/>
        </w:numPr>
        <w:spacing w:line="360" w:lineRule="auto"/>
        <w:jc w:val="center"/>
        <w:rPr>
          <w:rFonts w:hint="eastAsia" w:asciiTheme="minorEastAsia" w:hAnsiTheme="minorEastAsia" w:eastAsiaTheme="minorEastAsia" w:cstheme="minorEastAsia"/>
          <w:b/>
          <w:bCs/>
          <w:kern w:val="2"/>
          <w:sz w:val="21"/>
          <w:szCs w:val="21"/>
          <w:lang w:val="en-US" w:eastAsia="zh-CN" w:bidi="ar-SA"/>
        </w:rPr>
      </w:pPr>
      <w:r>
        <w:rPr>
          <w:rFonts w:hint="eastAsia" w:asciiTheme="minorEastAsia" w:hAnsiTheme="minorEastAsia" w:eastAsiaTheme="minorEastAsia" w:cstheme="minorEastAsia"/>
          <w:b/>
          <w:bCs/>
          <w:kern w:val="2"/>
          <w:sz w:val="21"/>
          <w:szCs w:val="21"/>
          <w:lang w:val="en-US" w:eastAsia="zh-CN" w:bidi="ar-SA"/>
        </w:rPr>
        <w:t>续图 2-3  各专业毕业生的月收入</w:t>
      </w:r>
    </w:p>
    <w:p>
      <w:pPr>
        <w:jc w:val="left"/>
        <w:rPr>
          <w:rFonts w:hint="eastAsia" w:asciiTheme="minorEastAsia" w:hAnsiTheme="minorEastAsia" w:eastAsiaTheme="minorEastAsia" w:cstheme="minorEastAsia"/>
          <w:color w:val="000000"/>
          <w:sz w:val="21"/>
          <w:szCs w:val="32"/>
        </w:rPr>
      </w:pPr>
      <w:r>
        <w:rPr>
          <w:rFonts w:hint="eastAsia" w:asciiTheme="minorEastAsia" w:hAnsiTheme="minorEastAsia" w:eastAsiaTheme="minorEastAsia" w:cstheme="minorEastAsia"/>
          <w:color w:val="000000"/>
          <w:sz w:val="21"/>
          <w:szCs w:val="32"/>
        </w:rPr>
        <w:t>注：个别专业因样本较少没有包括在内。</w:t>
      </w:r>
    </w:p>
    <w:p>
      <w:pPr>
        <w:jc w:val="left"/>
        <w:rPr>
          <w:rFonts w:hint="eastAsia" w:asciiTheme="minorEastAsia" w:hAnsiTheme="minorEastAsia" w:eastAsiaTheme="minorEastAsia" w:cstheme="minorEastAsia"/>
          <w:color w:val="000000"/>
          <w:sz w:val="21"/>
          <w:szCs w:val="32"/>
        </w:rPr>
      </w:pPr>
      <w:r>
        <w:rPr>
          <w:rFonts w:hint="eastAsia" w:asciiTheme="minorEastAsia" w:hAnsiTheme="minorEastAsia" w:eastAsiaTheme="minorEastAsia" w:cstheme="minorEastAsia"/>
          <w:color w:val="000000"/>
          <w:sz w:val="21"/>
          <w:szCs w:val="32"/>
        </w:rPr>
        <w:t>数据来源：麦可思-海南外国语职业学院2019届毕业生培养质量评价数据。</w:t>
      </w:r>
    </w:p>
    <w:p>
      <w:pPr>
        <w:jc w:val="center"/>
        <w:rPr>
          <w:rFonts w:ascii="Calibri" w:hAnsi="Calibri"/>
          <w:color w:val="000000"/>
          <w:sz w:val="18"/>
        </w:rPr>
      </w:pPr>
    </w:p>
    <w:bookmarkEnd w:id="246"/>
    <w:p>
      <w:pPr>
        <w:rPr>
          <w:rFonts w:ascii="Calibri" w:hAnsi="Calibri"/>
        </w:rPr>
      </w:pPr>
    </w:p>
    <w:p>
      <w:pPr>
        <w:rPr>
          <w:rFonts w:ascii="Calibri" w:hAnsi="Calibri"/>
        </w:rPr>
        <w:sectPr>
          <w:footnotePr>
            <w:numRestart w:val="eachPage"/>
          </w:footnotePr>
          <w:pgSz w:w="11906" w:h="16838"/>
          <w:pgMar w:top="1985" w:right="1531" w:bottom="1701" w:left="1701" w:header="964" w:footer="851" w:gutter="0"/>
          <w:pgNumType w:fmt="decimal"/>
          <w:cols w:space="425" w:num="1"/>
          <w:docGrid w:linePitch="312" w:charSpace="0"/>
        </w:sectPr>
      </w:pPr>
    </w:p>
    <w:bookmarkEnd w:id="237"/>
    <w:p>
      <w:pPr>
        <w:pStyle w:val="3"/>
        <w:bidi w:val="0"/>
        <w:ind w:left="0" w:leftChars="0" w:firstLine="0" w:firstLineChars="0"/>
        <w:rPr>
          <w:rFonts w:hint="eastAsia"/>
        </w:rPr>
      </w:pPr>
      <w:bookmarkStart w:id="248" w:name="_Toc23434182"/>
      <w:bookmarkStart w:id="249" w:name="_Toc13747"/>
      <w:bookmarkStart w:id="250" w:name="pb_33"/>
      <w:r>
        <w:rPr>
          <w:rFonts w:hint="eastAsia"/>
        </w:rPr>
        <w:t>专业相关度</w:t>
      </w:r>
      <w:bookmarkEnd w:id="248"/>
      <w:bookmarkEnd w:id="249"/>
    </w:p>
    <w:p>
      <w:pPr>
        <w:pStyle w:val="4"/>
        <w:bidi w:val="0"/>
        <w:ind w:left="0" w:leftChars="0" w:firstLine="400" w:firstLineChars="0"/>
        <w:rPr>
          <w:rFonts w:hint="eastAsia"/>
        </w:rPr>
      </w:pPr>
      <w:bookmarkStart w:id="251" w:name="_Toc10239"/>
      <w:bookmarkStart w:id="252" w:name="icb_61"/>
      <w:bookmarkStart w:id="253" w:name="pb_34"/>
      <w:r>
        <w:rPr>
          <w:rFonts w:hint="eastAsia"/>
        </w:rPr>
        <w:t>毕业生的工作与</w:t>
      </w:r>
      <w:r>
        <w:t>专业相关度</w:t>
      </w:r>
      <w:bookmarkEnd w:id="251"/>
    </w:p>
    <w:p>
      <w:pPr>
        <w:pStyle w:val="7"/>
        <w:bidi w:val="0"/>
      </w:pPr>
      <w:r>
        <w:rPr>
          <w:rFonts w:hint="eastAsia"/>
        </w:rPr>
        <w:t>本校2019届毕业生的工作与专业相关度为56%。</w:t>
      </w:r>
    </w:p>
    <w:p>
      <w:pPr>
        <w:jc w:val="center"/>
        <w:rPr>
          <w:rFonts w:ascii="Calibri" w:hAnsi="Calibri"/>
        </w:rPr>
      </w:pPr>
      <w:r>
        <w:rPr>
          <w:rFonts w:ascii="Calibri" w:hAnsi="Calibri"/>
        </w:rPr>
        <w:drawing>
          <wp:inline distT="0" distB="0" distL="114300" distR="114300">
            <wp:extent cx="5210175" cy="2514600"/>
            <wp:effectExtent l="0" t="0" r="0" b="0"/>
            <wp:docPr id="73"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图片 5"/>
                    <pic:cNvPicPr>
                      <a:picLocks noChangeAspect="1"/>
                    </pic:cNvPicPr>
                  </pic:nvPicPr>
                  <pic:blipFill>
                    <a:blip r:embed="rId45"/>
                    <a:stretch>
                      <a:fillRect/>
                    </a:stretch>
                  </pic:blipFill>
                  <pic:spPr>
                    <a:xfrm>
                      <a:off x="0" y="0"/>
                      <a:ext cx="5210175" cy="2514600"/>
                    </a:xfrm>
                    <a:prstGeom prst="rect">
                      <a:avLst/>
                    </a:prstGeom>
                    <a:noFill/>
                    <a:ln>
                      <a:noFill/>
                    </a:ln>
                  </pic:spPr>
                </pic:pic>
              </a:graphicData>
            </a:graphic>
          </wp:inline>
        </w:drawing>
      </w:r>
    </w:p>
    <w:p>
      <w:pPr>
        <w:pStyle w:val="8"/>
        <w:numPr>
          <w:ilvl w:val="0"/>
          <w:numId w:val="0"/>
        </w:numPr>
        <w:spacing w:line="360" w:lineRule="auto"/>
        <w:jc w:val="center"/>
        <w:rPr>
          <w:rFonts w:hint="eastAsia" w:asciiTheme="minorEastAsia" w:hAnsiTheme="minorEastAsia" w:eastAsiaTheme="minorEastAsia" w:cstheme="minorEastAsia"/>
          <w:b/>
          <w:bCs/>
          <w:kern w:val="2"/>
          <w:sz w:val="21"/>
          <w:szCs w:val="21"/>
          <w:lang w:val="en-US" w:eastAsia="zh-CN" w:bidi="ar-SA"/>
        </w:rPr>
      </w:pPr>
      <w:bookmarkStart w:id="254" w:name="_Toc23442263"/>
      <w:r>
        <w:rPr>
          <w:rFonts w:hint="eastAsia" w:asciiTheme="minorEastAsia" w:hAnsiTheme="minorEastAsia" w:eastAsiaTheme="minorEastAsia" w:cstheme="minorEastAsia"/>
          <w:b/>
          <w:bCs/>
          <w:kern w:val="2"/>
          <w:sz w:val="21"/>
          <w:szCs w:val="21"/>
          <w:lang w:val="en-US" w:eastAsia="zh-CN" w:bidi="ar-SA"/>
        </w:rPr>
        <w:t>图 2-4毕业生的工作与专业相关度</w:t>
      </w:r>
      <w:bookmarkEnd w:id="254"/>
    </w:p>
    <w:p>
      <w:pPr>
        <w:jc w:val="left"/>
        <w:rPr>
          <w:rFonts w:hint="eastAsia" w:asciiTheme="minorEastAsia" w:hAnsiTheme="minorEastAsia" w:eastAsiaTheme="minorEastAsia" w:cstheme="minorEastAsia"/>
          <w:color w:val="000000"/>
          <w:sz w:val="21"/>
          <w:szCs w:val="32"/>
        </w:rPr>
      </w:pPr>
      <w:r>
        <w:rPr>
          <w:rFonts w:hint="eastAsia" w:asciiTheme="minorEastAsia" w:hAnsiTheme="minorEastAsia" w:eastAsiaTheme="minorEastAsia" w:cstheme="minorEastAsia"/>
          <w:color w:val="000000"/>
          <w:sz w:val="21"/>
          <w:szCs w:val="32"/>
        </w:rPr>
        <w:t>数据来源：麦可思-海南外国语职业学院2019届毕业生培养质量评价数据。</w:t>
      </w:r>
    </w:p>
    <w:p>
      <w:pPr>
        <w:jc w:val="left"/>
        <w:rPr>
          <w:rFonts w:hint="eastAsia" w:ascii="Calibri" w:hAnsi="Calibri"/>
          <w:color w:val="000000"/>
          <w:sz w:val="18"/>
        </w:rPr>
      </w:pPr>
    </w:p>
    <w:p>
      <w:pPr>
        <w:pStyle w:val="4"/>
        <w:bidi w:val="0"/>
        <w:ind w:left="0" w:leftChars="0" w:firstLine="400" w:firstLineChars="0"/>
        <w:rPr>
          <w:rFonts w:hint="eastAsia"/>
        </w:rPr>
      </w:pPr>
      <w:bookmarkStart w:id="255" w:name="_Toc8435"/>
      <w:r>
        <w:rPr>
          <w:rFonts w:hint="eastAsia"/>
        </w:rPr>
        <w:t>毕业生工作中使用外语的频率</w:t>
      </w:r>
      <w:bookmarkEnd w:id="255"/>
    </w:p>
    <w:bookmarkEnd w:id="252"/>
    <w:p>
      <w:pPr>
        <w:pStyle w:val="7"/>
        <w:bidi w:val="0"/>
      </w:pPr>
      <w:r>
        <w:rPr>
          <w:rFonts w:hint="eastAsia"/>
        </w:rPr>
        <w:t>本校</w:t>
      </w:r>
      <w:r>
        <w:t>2019</w:t>
      </w:r>
      <w:r>
        <w:rPr>
          <w:rFonts w:hint="eastAsia"/>
        </w:rPr>
        <w:t>届毕业生中，有</w:t>
      </w:r>
      <w:r>
        <w:t>30</w:t>
      </w:r>
      <w:r>
        <w:rPr>
          <w:rFonts w:hint="eastAsia"/>
        </w:rPr>
        <w:t>%的人在工作中使用外语频率较高（每天至少使用一次）。</w:t>
      </w:r>
    </w:p>
    <w:p>
      <w:pPr>
        <w:jc w:val="center"/>
      </w:pPr>
      <w:r>
        <w:drawing>
          <wp:inline distT="0" distB="0" distL="114300" distR="114300">
            <wp:extent cx="5210810" cy="2292350"/>
            <wp:effectExtent l="0" t="0" r="0" b="0"/>
            <wp:docPr id="70"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图片 6"/>
                    <pic:cNvPicPr>
                      <a:picLocks noChangeAspect="1"/>
                    </pic:cNvPicPr>
                  </pic:nvPicPr>
                  <pic:blipFill>
                    <a:blip r:embed="rId46"/>
                    <a:stretch>
                      <a:fillRect/>
                    </a:stretch>
                  </pic:blipFill>
                  <pic:spPr>
                    <a:xfrm>
                      <a:off x="0" y="0"/>
                      <a:ext cx="5210810" cy="2292350"/>
                    </a:xfrm>
                    <a:prstGeom prst="rect">
                      <a:avLst/>
                    </a:prstGeom>
                    <a:noFill/>
                    <a:ln>
                      <a:noFill/>
                    </a:ln>
                  </pic:spPr>
                </pic:pic>
              </a:graphicData>
            </a:graphic>
          </wp:inline>
        </w:drawing>
      </w:r>
    </w:p>
    <w:p>
      <w:pPr>
        <w:pStyle w:val="8"/>
        <w:numPr>
          <w:ilvl w:val="0"/>
          <w:numId w:val="0"/>
        </w:numPr>
        <w:spacing w:line="360" w:lineRule="auto"/>
        <w:jc w:val="center"/>
        <w:rPr>
          <w:rFonts w:hint="eastAsia" w:asciiTheme="minorEastAsia" w:hAnsiTheme="minorEastAsia" w:eastAsiaTheme="minorEastAsia" w:cstheme="minorEastAsia"/>
          <w:b/>
          <w:bCs/>
          <w:kern w:val="2"/>
          <w:sz w:val="21"/>
          <w:szCs w:val="21"/>
          <w:lang w:val="en-US" w:eastAsia="zh-CN" w:bidi="ar-SA"/>
        </w:rPr>
      </w:pPr>
      <w:bookmarkStart w:id="256" w:name="_Toc23442264"/>
      <w:bookmarkStart w:id="257" w:name="_Toc2693304"/>
      <w:r>
        <w:rPr>
          <w:rFonts w:hint="eastAsia" w:asciiTheme="minorEastAsia" w:hAnsiTheme="minorEastAsia" w:eastAsiaTheme="minorEastAsia" w:cstheme="minorEastAsia"/>
          <w:b/>
          <w:bCs/>
          <w:kern w:val="2"/>
          <w:sz w:val="21"/>
          <w:szCs w:val="21"/>
          <w:lang w:val="en-US" w:eastAsia="zh-CN" w:bidi="ar-SA"/>
        </w:rPr>
        <w:t>图 2-5毕业生工作中使用外语的频率</w:t>
      </w:r>
      <w:bookmarkEnd w:id="256"/>
      <w:bookmarkEnd w:id="257"/>
    </w:p>
    <w:p>
      <w:pPr>
        <w:jc w:val="left"/>
        <w:rPr>
          <w:rFonts w:hint="eastAsia" w:asciiTheme="minorEastAsia" w:hAnsiTheme="minorEastAsia" w:eastAsiaTheme="minorEastAsia" w:cstheme="minorEastAsia"/>
          <w:color w:val="000000"/>
          <w:sz w:val="21"/>
          <w:szCs w:val="32"/>
        </w:rPr>
      </w:pPr>
      <w:r>
        <w:rPr>
          <w:rFonts w:hint="eastAsia" w:asciiTheme="minorEastAsia" w:hAnsiTheme="minorEastAsia" w:eastAsiaTheme="minorEastAsia" w:cstheme="minorEastAsia"/>
          <w:color w:val="000000"/>
          <w:sz w:val="21"/>
          <w:szCs w:val="32"/>
        </w:rPr>
        <w:t>数据来源：麦可思-海南外国语职业学院2019届毕业生培养质量评价数据。</w:t>
      </w:r>
    </w:p>
    <w:p>
      <w:pPr>
        <w:jc w:val="left"/>
        <w:rPr>
          <w:rFonts w:hint="eastAsia" w:asciiTheme="minorEastAsia" w:hAnsiTheme="minorEastAsia" w:eastAsiaTheme="minorEastAsia" w:cstheme="minorEastAsia"/>
          <w:color w:val="000000"/>
          <w:sz w:val="21"/>
          <w:szCs w:val="32"/>
        </w:rPr>
        <w:sectPr>
          <w:footnotePr>
            <w:numRestart w:val="eachPage"/>
          </w:footnotePr>
          <w:pgSz w:w="11906" w:h="16838"/>
          <w:pgMar w:top="1985" w:right="1531" w:bottom="1701" w:left="1701" w:header="964" w:footer="851" w:gutter="0"/>
          <w:pgNumType w:fmt="decimal"/>
          <w:cols w:space="425" w:num="1"/>
          <w:docGrid w:linePitch="312" w:charSpace="0"/>
        </w:sectPr>
      </w:pPr>
    </w:p>
    <w:bookmarkEnd w:id="253"/>
    <w:p>
      <w:pPr>
        <w:pStyle w:val="4"/>
        <w:bidi w:val="0"/>
        <w:ind w:left="0" w:leftChars="0" w:firstLine="400" w:firstLineChars="0"/>
      </w:pPr>
      <w:bookmarkStart w:id="258" w:name="_Toc7170"/>
      <w:bookmarkStart w:id="259" w:name="icb_62"/>
      <w:bookmarkStart w:id="260" w:name="pb_511"/>
      <w:r>
        <w:t>各院系及专业</w:t>
      </w:r>
      <w:r>
        <w:rPr>
          <w:rFonts w:hint="eastAsia"/>
          <w:lang w:eastAsia="zh-CN"/>
        </w:rPr>
        <w:t>毕业生</w:t>
      </w:r>
      <w:r>
        <w:t>的</w:t>
      </w:r>
      <w:r>
        <w:rPr>
          <w:rFonts w:hint="eastAsia"/>
        </w:rPr>
        <w:t>专业相关度</w:t>
      </w:r>
      <w:bookmarkEnd w:id="258"/>
    </w:p>
    <w:p>
      <w:pPr>
        <w:pStyle w:val="7"/>
        <w:bidi w:val="0"/>
      </w:pPr>
      <w:r>
        <w:rPr>
          <w:rFonts w:hint="eastAsia"/>
        </w:rPr>
        <w:t>本校2019届毕业生中，西语系、英语系、旅游系、国际商务系、东语系的工作与专业相关度分别为64%、62%、59%、53%、37%。</w:t>
      </w:r>
    </w:p>
    <w:p>
      <w:pPr>
        <w:jc w:val="center"/>
        <w:rPr>
          <w:rFonts w:ascii="Calibri" w:hAnsi="Calibri"/>
        </w:rPr>
      </w:pPr>
      <w:r>
        <w:rPr>
          <w:rFonts w:ascii="Calibri" w:hAnsi="Calibri"/>
        </w:rPr>
        <w:drawing>
          <wp:inline distT="0" distB="0" distL="114300" distR="114300">
            <wp:extent cx="5067300" cy="3924300"/>
            <wp:effectExtent l="0" t="0" r="0" b="0"/>
            <wp:docPr id="72"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图片 7"/>
                    <pic:cNvPicPr>
                      <a:picLocks noChangeAspect="1"/>
                    </pic:cNvPicPr>
                  </pic:nvPicPr>
                  <pic:blipFill>
                    <a:blip r:embed="rId47"/>
                    <a:stretch>
                      <a:fillRect/>
                    </a:stretch>
                  </pic:blipFill>
                  <pic:spPr>
                    <a:xfrm>
                      <a:off x="0" y="0"/>
                      <a:ext cx="5067300" cy="3924300"/>
                    </a:xfrm>
                    <a:prstGeom prst="rect">
                      <a:avLst/>
                    </a:prstGeom>
                    <a:noFill/>
                    <a:ln>
                      <a:noFill/>
                    </a:ln>
                  </pic:spPr>
                </pic:pic>
              </a:graphicData>
            </a:graphic>
          </wp:inline>
        </w:drawing>
      </w:r>
    </w:p>
    <w:p>
      <w:pPr>
        <w:pStyle w:val="8"/>
        <w:numPr>
          <w:ilvl w:val="0"/>
          <w:numId w:val="0"/>
        </w:numPr>
        <w:spacing w:line="360" w:lineRule="auto"/>
        <w:jc w:val="center"/>
        <w:rPr>
          <w:rFonts w:hint="eastAsia" w:asciiTheme="minorEastAsia" w:hAnsiTheme="minorEastAsia" w:eastAsiaTheme="minorEastAsia" w:cstheme="minorEastAsia"/>
          <w:b/>
          <w:bCs/>
          <w:kern w:val="2"/>
          <w:sz w:val="21"/>
          <w:szCs w:val="21"/>
          <w:lang w:val="en-US" w:eastAsia="zh-CN" w:bidi="ar-SA"/>
        </w:rPr>
      </w:pPr>
      <w:bookmarkStart w:id="261" w:name="_Toc23442265"/>
      <w:r>
        <w:rPr>
          <w:rFonts w:hint="eastAsia" w:asciiTheme="minorEastAsia" w:hAnsiTheme="minorEastAsia" w:eastAsiaTheme="minorEastAsia" w:cstheme="minorEastAsia"/>
          <w:b/>
          <w:bCs/>
          <w:kern w:val="2"/>
          <w:sz w:val="21"/>
          <w:szCs w:val="21"/>
          <w:lang w:val="en-US" w:eastAsia="zh-CN" w:bidi="ar-SA"/>
        </w:rPr>
        <w:t>图 2-6各院系毕业生的工作与专业相关度</w:t>
      </w:r>
      <w:bookmarkEnd w:id="261"/>
    </w:p>
    <w:p>
      <w:pPr>
        <w:jc w:val="left"/>
        <w:rPr>
          <w:rFonts w:hint="eastAsia" w:asciiTheme="minorEastAsia" w:hAnsiTheme="minorEastAsia" w:eastAsiaTheme="minorEastAsia" w:cstheme="minorEastAsia"/>
          <w:color w:val="000000"/>
          <w:sz w:val="21"/>
          <w:szCs w:val="32"/>
        </w:rPr>
      </w:pPr>
      <w:r>
        <w:rPr>
          <w:rFonts w:hint="eastAsia" w:asciiTheme="minorEastAsia" w:hAnsiTheme="minorEastAsia" w:eastAsiaTheme="minorEastAsia" w:cstheme="minorEastAsia"/>
          <w:color w:val="000000"/>
          <w:sz w:val="21"/>
          <w:szCs w:val="32"/>
        </w:rPr>
        <w:t>注：个别院系因样本较少没有包括在内。</w:t>
      </w:r>
    </w:p>
    <w:p>
      <w:pPr>
        <w:jc w:val="left"/>
        <w:rPr>
          <w:rFonts w:hint="eastAsia" w:asciiTheme="minorEastAsia" w:hAnsiTheme="minorEastAsia" w:eastAsiaTheme="minorEastAsia" w:cstheme="minorEastAsia"/>
          <w:color w:val="000000"/>
          <w:sz w:val="21"/>
          <w:szCs w:val="32"/>
        </w:rPr>
      </w:pPr>
      <w:r>
        <w:rPr>
          <w:rFonts w:hint="eastAsia" w:asciiTheme="minorEastAsia" w:hAnsiTheme="minorEastAsia" w:eastAsiaTheme="minorEastAsia" w:cstheme="minorEastAsia"/>
          <w:color w:val="000000"/>
          <w:sz w:val="21"/>
          <w:szCs w:val="32"/>
        </w:rPr>
        <w:t>数据来源：麦可思-海南外国语职业学院2019届毕业生培养质量评价数据。</w:t>
      </w:r>
    </w:p>
    <w:bookmarkEnd w:id="259"/>
    <w:p>
      <w:pPr>
        <w:spacing w:line="240" w:lineRule="auto"/>
        <w:jc w:val="left"/>
        <w:rPr>
          <w:rFonts w:hint="eastAsia" w:ascii="Calibri" w:hAnsi="Calibri"/>
        </w:rPr>
      </w:pPr>
    </w:p>
    <w:p>
      <w:pPr>
        <w:rPr>
          <w:rFonts w:ascii="Calibri" w:hAnsi="Calibri"/>
        </w:rPr>
      </w:pPr>
    </w:p>
    <w:p>
      <w:pPr>
        <w:spacing w:line="240" w:lineRule="auto"/>
        <w:jc w:val="left"/>
        <w:rPr>
          <w:rFonts w:ascii="Calibri" w:hAnsi="Calibri" w:cs="Arial"/>
          <w:kern w:val="0"/>
          <w:sz w:val="18"/>
          <w:szCs w:val="18"/>
        </w:rPr>
        <w:sectPr>
          <w:pgSz w:w="11907" w:h="16839"/>
          <w:pgMar w:top="1985" w:right="1531" w:bottom="1701" w:left="1701" w:header="964" w:footer="851" w:gutter="0"/>
          <w:pgNumType w:fmt="decimal"/>
          <w:cols w:space="425" w:num="1"/>
          <w:docGrid w:linePitch="312" w:charSpace="0"/>
        </w:sectPr>
      </w:pPr>
    </w:p>
    <w:bookmarkEnd w:id="260"/>
    <w:p>
      <w:pPr>
        <w:pStyle w:val="7"/>
        <w:bidi w:val="0"/>
      </w:pPr>
      <w:bookmarkStart w:id="262" w:name="icb_8015"/>
      <w:r>
        <w:rPr>
          <w:rFonts w:hint="eastAsia"/>
        </w:rPr>
        <w:t>本校2019届毕业生工作与专业相关度较高的专业是应用英语（少儿师资）（82%），工作与专业相关度较低的专业是应用韩语（20%）、商务英语（22%）。</w:t>
      </w:r>
    </w:p>
    <w:p>
      <w:pPr>
        <w:jc w:val="center"/>
        <w:rPr>
          <w:rFonts w:ascii="Calibri" w:hAnsi="Calibri"/>
        </w:rPr>
      </w:pPr>
      <w:r>
        <w:rPr>
          <w:rFonts w:ascii="Calibri" w:hAnsi="Calibri"/>
        </w:rPr>
        <w:drawing>
          <wp:inline distT="0" distB="0" distL="114300" distR="114300">
            <wp:extent cx="5067300" cy="5962650"/>
            <wp:effectExtent l="0" t="0" r="0" b="0"/>
            <wp:docPr id="71"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图片 8"/>
                    <pic:cNvPicPr>
                      <a:picLocks noChangeAspect="1"/>
                    </pic:cNvPicPr>
                  </pic:nvPicPr>
                  <pic:blipFill>
                    <a:blip r:embed="rId48"/>
                    <a:stretch>
                      <a:fillRect/>
                    </a:stretch>
                  </pic:blipFill>
                  <pic:spPr>
                    <a:xfrm>
                      <a:off x="0" y="0"/>
                      <a:ext cx="5067300" cy="5962650"/>
                    </a:xfrm>
                    <a:prstGeom prst="rect">
                      <a:avLst/>
                    </a:prstGeom>
                    <a:noFill/>
                    <a:ln>
                      <a:noFill/>
                    </a:ln>
                  </pic:spPr>
                </pic:pic>
              </a:graphicData>
            </a:graphic>
          </wp:inline>
        </w:drawing>
      </w:r>
    </w:p>
    <w:p>
      <w:pPr>
        <w:pStyle w:val="8"/>
        <w:numPr>
          <w:ilvl w:val="0"/>
          <w:numId w:val="0"/>
        </w:numPr>
        <w:spacing w:line="360" w:lineRule="auto"/>
        <w:jc w:val="center"/>
        <w:rPr>
          <w:rFonts w:hint="eastAsia" w:asciiTheme="minorEastAsia" w:hAnsiTheme="minorEastAsia" w:eastAsiaTheme="minorEastAsia" w:cstheme="minorEastAsia"/>
          <w:b/>
          <w:bCs/>
          <w:kern w:val="2"/>
          <w:sz w:val="21"/>
          <w:szCs w:val="21"/>
          <w:lang w:val="en-US" w:eastAsia="zh-CN" w:bidi="ar-SA"/>
        </w:rPr>
      </w:pPr>
      <w:bookmarkStart w:id="263" w:name="_Toc23442266"/>
      <w:r>
        <w:rPr>
          <w:rFonts w:hint="eastAsia" w:asciiTheme="minorEastAsia" w:hAnsiTheme="minorEastAsia" w:eastAsiaTheme="minorEastAsia" w:cstheme="minorEastAsia"/>
          <w:b/>
          <w:bCs/>
          <w:kern w:val="2"/>
          <w:sz w:val="21"/>
          <w:szCs w:val="21"/>
          <w:lang w:val="en-US" w:eastAsia="zh-CN" w:bidi="ar-SA"/>
        </w:rPr>
        <w:t>图 2-7各专业毕业生的工作与专业相关度</w:t>
      </w:r>
      <w:bookmarkEnd w:id="263"/>
    </w:p>
    <w:p>
      <w:pPr>
        <w:jc w:val="left"/>
        <w:rPr>
          <w:rFonts w:hint="eastAsia" w:asciiTheme="minorEastAsia" w:hAnsiTheme="minorEastAsia" w:eastAsiaTheme="minorEastAsia" w:cstheme="minorEastAsia"/>
          <w:color w:val="000000"/>
          <w:sz w:val="21"/>
          <w:szCs w:val="32"/>
        </w:rPr>
      </w:pPr>
      <w:r>
        <w:rPr>
          <w:rFonts w:hint="eastAsia" w:asciiTheme="minorEastAsia" w:hAnsiTheme="minorEastAsia" w:eastAsiaTheme="minorEastAsia" w:cstheme="minorEastAsia"/>
          <w:color w:val="000000"/>
          <w:sz w:val="21"/>
          <w:szCs w:val="32"/>
        </w:rPr>
        <w:t>注：个别专业因样本较少没有包括在内。</w:t>
      </w:r>
    </w:p>
    <w:p>
      <w:pPr>
        <w:jc w:val="left"/>
        <w:rPr>
          <w:rFonts w:hint="eastAsia" w:asciiTheme="minorEastAsia" w:hAnsiTheme="minorEastAsia" w:eastAsiaTheme="minorEastAsia" w:cstheme="minorEastAsia"/>
          <w:color w:val="000000"/>
          <w:sz w:val="21"/>
          <w:szCs w:val="32"/>
        </w:rPr>
      </w:pPr>
      <w:r>
        <w:rPr>
          <w:rFonts w:hint="eastAsia" w:asciiTheme="minorEastAsia" w:hAnsiTheme="minorEastAsia" w:eastAsiaTheme="minorEastAsia" w:cstheme="minorEastAsia"/>
          <w:color w:val="000000"/>
          <w:sz w:val="21"/>
          <w:szCs w:val="32"/>
        </w:rPr>
        <w:t>数据来源：麦可思-海南外国语职业学院2019届毕业生培养质量评价数据。</w:t>
      </w:r>
    </w:p>
    <w:bookmarkEnd w:id="262"/>
    <w:p>
      <w:pPr>
        <w:rPr>
          <w:rFonts w:hint="eastAsia" w:ascii="Calibri" w:hAnsi="Calibri"/>
        </w:rPr>
      </w:pPr>
    </w:p>
    <w:p>
      <w:pPr>
        <w:rPr>
          <w:rFonts w:ascii="Calibri" w:hAnsi="Calibri"/>
        </w:rPr>
        <w:sectPr>
          <w:pgSz w:w="11907" w:h="16839"/>
          <w:pgMar w:top="1985" w:right="1531" w:bottom="1701" w:left="1701" w:header="964" w:footer="851" w:gutter="0"/>
          <w:pgNumType w:fmt="decimal"/>
          <w:cols w:space="425" w:num="1"/>
          <w:docGrid w:linePitch="312" w:charSpace="0"/>
        </w:sectPr>
      </w:pPr>
    </w:p>
    <w:bookmarkEnd w:id="250"/>
    <w:p>
      <w:pPr>
        <w:pStyle w:val="3"/>
        <w:bidi w:val="0"/>
        <w:ind w:left="0" w:leftChars="0" w:firstLine="0" w:firstLineChars="0"/>
        <w:rPr>
          <w:rFonts w:hint="eastAsia"/>
        </w:rPr>
      </w:pPr>
      <w:bookmarkStart w:id="264" w:name="_Toc23434183"/>
      <w:bookmarkStart w:id="265" w:name="_Toc14528"/>
      <w:bookmarkStart w:id="266" w:name="pb_35"/>
      <w:r>
        <w:rPr>
          <w:rFonts w:hint="eastAsia"/>
        </w:rPr>
        <w:t>就业现状满意度</w:t>
      </w:r>
      <w:bookmarkEnd w:id="264"/>
      <w:bookmarkEnd w:id="265"/>
    </w:p>
    <w:p>
      <w:pPr>
        <w:pStyle w:val="4"/>
        <w:bidi w:val="0"/>
        <w:ind w:left="0" w:leftChars="0" w:firstLine="400" w:firstLineChars="0"/>
        <w:rPr>
          <w:rFonts w:hint="eastAsia"/>
        </w:rPr>
      </w:pPr>
      <w:bookmarkStart w:id="267" w:name="_Toc14772"/>
      <w:bookmarkStart w:id="268" w:name="icb_67"/>
      <w:bookmarkStart w:id="269" w:name="pb_36"/>
      <w:r>
        <w:rPr>
          <w:rFonts w:hint="eastAsia"/>
        </w:rPr>
        <w:t>毕业生的就业现状满意度</w:t>
      </w:r>
      <w:bookmarkEnd w:id="267"/>
    </w:p>
    <w:p>
      <w:pPr>
        <w:pStyle w:val="7"/>
        <w:bidi w:val="0"/>
      </w:pPr>
      <w:r>
        <w:rPr>
          <w:rFonts w:hint="eastAsia"/>
        </w:rPr>
        <w:t>本校2019届毕业生的就业现状满意度为67%。</w:t>
      </w:r>
    </w:p>
    <w:p>
      <w:pPr>
        <w:jc w:val="center"/>
        <w:rPr>
          <w:rFonts w:ascii="Calibri" w:hAnsi="Calibri"/>
        </w:rPr>
      </w:pPr>
      <w:r>
        <w:rPr>
          <w:rFonts w:ascii="Calibri" w:hAnsi="Calibri"/>
        </w:rPr>
        <w:drawing>
          <wp:inline distT="0" distB="0" distL="114300" distR="114300">
            <wp:extent cx="5210175" cy="2514600"/>
            <wp:effectExtent l="0" t="0" r="0" b="0"/>
            <wp:docPr id="6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图片 9"/>
                    <pic:cNvPicPr>
                      <a:picLocks noChangeAspect="1"/>
                    </pic:cNvPicPr>
                  </pic:nvPicPr>
                  <pic:blipFill>
                    <a:blip r:embed="rId49"/>
                    <a:stretch>
                      <a:fillRect/>
                    </a:stretch>
                  </pic:blipFill>
                  <pic:spPr>
                    <a:xfrm>
                      <a:off x="0" y="0"/>
                      <a:ext cx="5210175" cy="2514600"/>
                    </a:xfrm>
                    <a:prstGeom prst="rect">
                      <a:avLst/>
                    </a:prstGeom>
                    <a:noFill/>
                    <a:ln>
                      <a:noFill/>
                    </a:ln>
                  </pic:spPr>
                </pic:pic>
              </a:graphicData>
            </a:graphic>
          </wp:inline>
        </w:drawing>
      </w:r>
    </w:p>
    <w:p>
      <w:pPr>
        <w:pStyle w:val="8"/>
        <w:numPr>
          <w:ilvl w:val="0"/>
          <w:numId w:val="0"/>
        </w:numPr>
        <w:spacing w:line="360" w:lineRule="auto"/>
        <w:jc w:val="center"/>
        <w:rPr>
          <w:rFonts w:hint="eastAsia" w:asciiTheme="minorEastAsia" w:hAnsiTheme="minorEastAsia" w:eastAsiaTheme="minorEastAsia" w:cstheme="minorEastAsia"/>
          <w:b/>
          <w:bCs/>
          <w:kern w:val="2"/>
          <w:sz w:val="21"/>
          <w:szCs w:val="21"/>
          <w:lang w:val="en-US" w:eastAsia="zh-CN" w:bidi="ar-SA"/>
        </w:rPr>
      </w:pPr>
      <w:bookmarkStart w:id="270" w:name="_Toc23442267"/>
      <w:r>
        <w:rPr>
          <w:rFonts w:hint="eastAsia" w:asciiTheme="minorEastAsia" w:hAnsiTheme="minorEastAsia" w:eastAsiaTheme="minorEastAsia" w:cstheme="minorEastAsia"/>
          <w:b/>
          <w:bCs/>
          <w:kern w:val="2"/>
          <w:sz w:val="21"/>
          <w:szCs w:val="21"/>
          <w:lang w:val="en-US" w:eastAsia="zh-CN" w:bidi="ar-SA"/>
        </w:rPr>
        <w:t>图 2-8毕业生的就业现状满意度</w:t>
      </w:r>
      <w:bookmarkEnd w:id="270"/>
    </w:p>
    <w:p>
      <w:pPr>
        <w:jc w:val="left"/>
        <w:rPr>
          <w:rFonts w:hint="eastAsia" w:asciiTheme="minorEastAsia" w:hAnsiTheme="minorEastAsia" w:eastAsiaTheme="minorEastAsia" w:cstheme="minorEastAsia"/>
          <w:color w:val="000000"/>
          <w:sz w:val="21"/>
          <w:szCs w:val="32"/>
        </w:rPr>
      </w:pPr>
      <w:r>
        <w:rPr>
          <w:rFonts w:hint="eastAsia" w:asciiTheme="minorEastAsia" w:hAnsiTheme="minorEastAsia" w:eastAsiaTheme="minorEastAsia" w:cstheme="minorEastAsia"/>
          <w:color w:val="000000"/>
          <w:sz w:val="21"/>
          <w:szCs w:val="32"/>
        </w:rPr>
        <w:t>数据来源：麦可思-海南外国语职业学院2019届毕业生培养质量评价数据。</w:t>
      </w:r>
    </w:p>
    <w:p>
      <w:pPr>
        <w:rPr>
          <w:rFonts w:ascii="Calibri" w:hAnsi="Calibri"/>
        </w:rPr>
      </w:pPr>
    </w:p>
    <w:p>
      <w:pPr>
        <w:rPr>
          <w:rFonts w:hint="eastAsia" w:ascii="Calibri" w:hAnsi="Calibri"/>
        </w:rPr>
      </w:pPr>
    </w:p>
    <w:bookmarkEnd w:id="268"/>
    <w:p>
      <w:pPr>
        <w:pStyle w:val="5"/>
        <w:numPr>
          <w:ilvl w:val="0"/>
          <w:numId w:val="4"/>
        </w:numPr>
        <w:bidi w:val="0"/>
        <w:ind w:left="0" w:leftChars="0" w:firstLine="0" w:firstLineChars="0"/>
        <w:sectPr>
          <w:pgSz w:w="11907" w:h="16839"/>
          <w:pgMar w:top="1985" w:right="1531" w:bottom="1701" w:left="1701" w:header="964" w:footer="851" w:gutter="0"/>
          <w:pgNumType w:fmt="decimal"/>
          <w:cols w:space="425" w:num="1"/>
          <w:docGrid w:linePitch="312" w:charSpace="0"/>
        </w:sectPr>
      </w:pPr>
    </w:p>
    <w:bookmarkEnd w:id="269"/>
    <w:p>
      <w:pPr>
        <w:pStyle w:val="4"/>
        <w:bidi w:val="0"/>
        <w:ind w:left="0" w:leftChars="0" w:firstLine="400" w:firstLineChars="0"/>
        <w:rPr>
          <w:rFonts w:hint="eastAsia"/>
        </w:rPr>
      </w:pPr>
      <w:bookmarkStart w:id="271" w:name="_Toc28288"/>
      <w:bookmarkStart w:id="272" w:name="icb_68"/>
      <w:bookmarkStart w:id="273" w:name="pb_512"/>
      <w:r>
        <w:rPr>
          <w:rFonts w:hint="eastAsia"/>
        </w:rPr>
        <w:t>各院系</w:t>
      </w:r>
      <w:r>
        <w:rPr>
          <w:lang w:eastAsia="zh-CN"/>
        </w:rPr>
        <w:t>及</w:t>
      </w:r>
      <w:r>
        <w:rPr>
          <w:rFonts w:hint="eastAsia"/>
        </w:rPr>
        <w:t>专业</w:t>
      </w:r>
      <w:r>
        <w:rPr>
          <w:rFonts w:hint="eastAsia"/>
          <w:lang w:eastAsia="zh-CN"/>
        </w:rPr>
        <w:t>毕业生的</w:t>
      </w:r>
      <w:r>
        <w:rPr>
          <w:rFonts w:hint="eastAsia"/>
        </w:rPr>
        <w:t>就业现状满意度</w:t>
      </w:r>
      <w:bookmarkEnd w:id="271"/>
    </w:p>
    <w:p>
      <w:pPr>
        <w:pStyle w:val="7"/>
        <w:bidi w:val="0"/>
      </w:pPr>
      <w:r>
        <w:rPr>
          <w:rFonts w:hint="eastAsia"/>
        </w:rPr>
        <w:t>本校2019届毕业生中，英语系、旅游系、西语系、东语系、国际商务系的就业现状满意度分别为73%、70%、69%、65%、61%。</w:t>
      </w:r>
    </w:p>
    <w:p>
      <w:pPr>
        <w:jc w:val="center"/>
        <w:rPr>
          <w:rFonts w:ascii="Calibri" w:hAnsi="Calibri"/>
        </w:rPr>
      </w:pPr>
      <w:r>
        <w:rPr>
          <w:rFonts w:ascii="Calibri" w:hAnsi="Calibri"/>
        </w:rPr>
        <w:drawing>
          <wp:inline distT="0" distB="0" distL="114300" distR="114300">
            <wp:extent cx="5067300" cy="3924300"/>
            <wp:effectExtent l="0" t="0" r="0" b="0"/>
            <wp:docPr id="76"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图片 10"/>
                    <pic:cNvPicPr>
                      <a:picLocks noChangeAspect="1"/>
                    </pic:cNvPicPr>
                  </pic:nvPicPr>
                  <pic:blipFill>
                    <a:blip r:embed="rId50"/>
                    <a:stretch>
                      <a:fillRect/>
                    </a:stretch>
                  </pic:blipFill>
                  <pic:spPr>
                    <a:xfrm>
                      <a:off x="0" y="0"/>
                      <a:ext cx="5067300" cy="3924300"/>
                    </a:xfrm>
                    <a:prstGeom prst="rect">
                      <a:avLst/>
                    </a:prstGeom>
                    <a:noFill/>
                    <a:ln>
                      <a:noFill/>
                    </a:ln>
                  </pic:spPr>
                </pic:pic>
              </a:graphicData>
            </a:graphic>
          </wp:inline>
        </w:drawing>
      </w:r>
    </w:p>
    <w:p>
      <w:pPr>
        <w:pStyle w:val="8"/>
        <w:numPr>
          <w:ilvl w:val="0"/>
          <w:numId w:val="0"/>
        </w:numPr>
        <w:spacing w:line="360" w:lineRule="auto"/>
        <w:jc w:val="center"/>
        <w:rPr>
          <w:rFonts w:hint="eastAsia" w:asciiTheme="minorEastAsia" w:hAnsiTheme="minorEastAsia" w:eastAsiaTheme="minorEastAsia" w:cstheme="minorEastAsia"/>
          <w:b/>
          <w:bCs/>
          <w:kern w:val="2"/>
          <w:sz w:val="21"/>
          <w:szCs w:val="21"/>
          <w:lang w:val="en-US" w:eastAsia="zh-CN" w:bidi="ar-SA"/>
        </w:rPr>
      </w:pPr>
      <w:bookmarkStart w:id="274" w:name="_Toc23442268"/>
      <w:r>
        <w:rPr>
          <w:rFonts w:hint="eastAsia" w:asciiTheme="minorEastAsia" w:hAnsiTheme="minorEastAsia" w:eastAsiaTheme="minorEastAsia" w:cstheme="minorEastAsia"/>
          <w:b/>
          <w:bCs/>
          <w:kern w:val="2"/>
          <w:sz w:val="21"/>
          <w:szCs w:val="21"/>
          <w:lang w:val="en-US" w:eastAsia="zh-CN" w:bidi="ar-SA"/>
        </w:rPr>
        <w:t>图 2-9各院系毕业生的就业现状满意度</w:t>
      </w:r>
      <w:bookmarkEnd w:id="274"/>
    </w:p>
    <w:p>
      <w:pPr>
        <w:jc w:val="left"/>
        <w:rPr>
          <w:rFonts w:hint="eastAsia" w:asciiTheme="minorEastAsia" w:hAnsiTheme="minorEastAsia" w:eastAsiaTheme="minorEastAsia" w:cstheme="minorEastAsia"/>
          <w:color w:val="000000"/>
          <w:sz w:val="21"/>
          <w:szCs w:val="32"/>
        </w:rPr>
      </w:pPr>
      <w:r>
        <w:rPr>
          <w:rFonts w:hint="eastAsia" w:asciiTheme="minorEastAsia" w:hAnsiTheme="minorEastAsia" w:eastAsiaTheme="minorEastAsia" w:cstheme="minorEastAsia"/>
          <w:color w:val="000000"/>
          <w:sz w:val="21"/>
          <w:szCs w:val="32"/>
        </w:rPr>
        <w:t>注：个别院系因样本较少没有包括在内。</w:t>
      </w:r>
    </w:p>
    <w:p>
      <w:pPr>
        <w:jc w:val="left"/>
        <w:rPr>
          <w:rFonts w:hint="eastAsia" w:asciiTheme="minorEastAsia" w:hAnsiTheme="minorEastAsia" w:eastAsiaTheme="minorEastAsia" w:cstheme="minorEastAsia"/>
          <w:color w:val="000000"/>
          <w:sz w:val="21"/>
          <w:szCs w:val="32"/>
        </w:rPr>
      </w:pPr>
      <w:r>
        <w:rPr>
          <w:rFonts w:hint="eastAsia" w:asciiTheme="minorEastAsia" w:hAnsiTheme="minorEastAsia" w:eastAsiaTheme="minorEastAsia" w:cstheme="minorEastAsia"/>
          <w:color w:val="000000"/>
          <w:sz w:val="21"/>
          <w:szCs w:val="32"/>
        </w:rPr>
        <w:t>数据来源：麦可思-海南外国语职业学院2019届毕业生培养质量评价数据。</w:t>
      </w:r>
    </w:p>
    <w:p>
      <w:pPr>
        <w:rPr>
          <w:rFonts w:ascii="Calibri" w:hAnsi="Calibri"/>
        </w:rPr>
      </w:pPr>
    </w:p>
    <w:bookmarkEnd w:id="272"/>
    <w:p>
      <w:pPr>
        <w:rPr>
          <w:rFonts w:ascii="Calibri" w:hAnsi="Calibri"/>
        </w:rPr>
      </w:pPr>
    </w:p>
    <w:p>
      <w:pPr>
        <w:rPr>
          <w:rFonts w:ascii="Calibri" w:hAnsi="Calibri"/>
        </w:rPr>
        <w:sectPr>
          <w:pgSz w:w="11907" w:h="16839"/>
          <w:pgMar w:top="1985" w:right="1531" w:bottom="1701" w:left="1701" w:header="964" w:footer="851" w:gutter="0"/>
          <w:pgNumType w:fmt="decimal"/>
          <w:cols w:space="425" w:num="1"/>
          <w:docGrid w:linePitch="312" w:charSpace="0"/>
        </w:sectPr>
      </w:pPr>
    </w:p>
    <w:bookmarkEnd w:id="273"/>
    <w:p>
      <w:pPr>
        <w:pStyle w:val="7"/>
        <w:bidi w:val="0"/>
      </w:pPr>
      <w:bookmarkStart w:id="275" w:name="icb_8016"/>
      <w:r>
        <w:rPr>
          <w:rFonts w:hint="eastAsia"/>
        </w:rPr>
        <w:t>本校2019届毕业生就业现状满意度较高的专业是应用英语（英语翻译）（76%），就业现状满意度较低的专业是商务英语（53%）。</w:t>
      </w:r>
    </w:p>
    <w:p>
      <w:pPr>
        <w:jc w:val="center"/>
        <w:rPr>
          <w:rFonts w:ascii="Calibri" w:hAnsi="Calibri" w:cs="Arial"/>
          <w:b/>
          <w:szCs w:val="21"/>
        </w:rPr>
      </w:pPr>
      <w:r>
        <w:rPr>
          <w:rFonts w:ascii="Calibri" w:hAnsi="Calibri" w:cs="Arial"/>
          <w:b/>
          <w:szCs w:val="21"/>
        </w:rPr>
        <w:drawing>
          <wp:inline distT="0" distB="0" distL="114300" distR="114300">
            <wp:extent cx="5067300" cy="5962650"/>
            <wp:effectExtent l="0" t="0" r="0" b="0"/>
            <wp:docPr id="75"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图片 11"/>
                    <pic:cNvPicPr>
                      <a:picLocks noChangeAspect="1"/>
                    </pic:cNvPicPr>
                  </pic:nvPicPr>
                  <pic:blipFill>
                    <a:blip r:embed="rId51"/>
                    <a:stretch>
                      <a:fillRect/>
                    </a:stretch>
                  </pic:blipFill>
                  <pic:spPr>
                    <a:xfrm>
                      <a:off x="0" y="0"/>
                      <a:ext cx="5067300" cy="5962650"/>
                    </a:xfrm>
                    <a:prstGeom prst="rect">
                      <a:avLst/>
                    </a:prstGeom>
                    <a:noFill/>
                    <a:ln>
                      <a:noFill/>
                    </a:ln>
                  </pic:spPr>
                </pic:pic>
              </a:graphicData>
            </a:graphic>
          </wp:inline>
        </w:drawing>
      </w:r>
    </w:p>
    <w:p>
      <w:pPr>
        <w:pStyle w:val="8"/>
        <w:numPr>
          <w:ilvl w:val="0"/>
          <w:numId w:val="0"/>
        </w:numPr>
        <w:spacing w:line="360" w:lineRule="auto"/>
        <w:jc w:val="center"/>
        <w:rPr>
          <w:rFonts w:hint="eastAsia" w:asciiTheme="minorEastAsia" w:hAnsiTheme="minorEastAsia" w:eastAsiaTheme="minorEastAsia" w:cstheme="minorEastAsia"/>
          <w:b/>
          <w:bCs/>
          <w:kern w:val="2"/>
          <w:sz w:val="21"/>
          <w:szCs w:val="21"/>
          <w:lang w:val="en-US" w:eastAsia="zh-CN" w:bidi="ar-SA"/>
        </w:rPr>
      </w:pPr>
      <w:bookmarkStart w:id="276" w:name="_Toc23442269"/>
      <w:r>
        <w:rPr>
          <w:rFonts w:hint="eastAsia" w:asciiTheme="minorEastAsia" w:hAnsiTheme="minorEastAsia" w:eastAsiaTheme="minorEastAsia" w:cstheme="minorEastAsia"/>
          <w:b/>
          <w:bCs/>
          <w:kern w:val="2"/>
          <w:sz w:val="21"/>
          <w:szCs w:val="21"/>
          <w:lang w:val="en-US" w:eastAsia="zh-CN" w:bidi="ar-SA"/>
        </w:rPr>
        <w:t>图 2-10各专业毕业生的就业现状满意度</w:t>
      </w:r>
      <w:bookmarkEnd w:id="276"/>
    </w:p>
    <w:p>
      <w:pPr>
        <w:jc w:val="left"/>
        <w:rPr>
          <w:rFonts w:hint="eastAsia" w:asciiTheme="minorEastAsia" w:hAnsiTheme="minorEastAsia" w:eastAsiaTheme="minorEastAsia" w:cstheme="minorEastAsia"/>
          <w:color w:val="000000"/>
          <w:sz w:val="21"/>
          <w:szCs w:val="32"/>
        </w:rPr>
      </w:pPr>
      <w:r>
        <w:rPr>
          <w:rFonts w:hint="eastAsia" w:asciiTheme="minorEastAsia" w:hAnsiTheme="minorEastAsia" w:eastAsiaTheme="minorEastAsia" w:cstheme="minorEastAsia"/>
          <w:color w:val="000000"/>
          <w:sz w:val="21"/>
          <w:szCs w:val="32"/>
        </w:rPr>
        <w:t>注：个别专业因样本较少没有包括在内。</w:t>
      </w:r>
    </w:p>
    <w:p>
      <w:pPr>
        <w:jc w:val="left"/>
        <w:rPr>
          <w:rFonts w:hint="eastAsia" w:asciiTheme="minorEastAsia" w:hAnsiTheme="minorEastAsia" w:eastAsiaTheme="minorEastAsia" w:cstheme="minorEastAsia"/>
          <w:color w:val="000000"/>
          <w:sz w:val="21"/>
          <w:szCs w:val="32"/>
        </w:rPr>
      </w:pPr>
      <w:r>
        <w:rPr>
          <w:rFonts w:hint="eastAsia" w:asciiTheme="minorEastAsia" w:hAnsiTheme="minorEastAsia" w:eastAsiaTheme="minorEastAsia" w:cstheme="minorEastAsia"/>
          <w:color w:val="000000"/>
          <w:sz w:val="21"/>
          <w:szCs w:val="32"/>
        </w:rPr>
        <w:t>数据来源：麦可思-海南外国语职业学院2019届毕业生培养质量评价数据。</w:t>
      </w:r>
    </w:p>
    <w:bookmarkEnd w:id="275"/>
    <w:p>
      <w:pPr>
        <w:jc w:val="left"/>
        <w:rPr>
          <w:rFonts w:hint="eastAsia" w:asciiTheme="minorEastAsia" w:hAnsiTheme="minorEastAsia" w:eastAsiaTheme="minorEastAsia" w:cstheme="minorEastAsia"/>
          <w:color w:val="000000"/>
          <w:sz w:val="21"/>
          <w:szCs w:val="32"/>
        </w:rPr>
      </w:pPr>
    </w:p>
    <w:p>
      <w:pPr>
        <w:jc w:val="left"/>
        <w:rPr>
          <w:rFonts w:hint="eastAsia" w:asciiTheme="minorEastAsia" w:hAnsiTheme="minorEastAsia" w:eastAsiaTheme="minorEastAsia" w:cstheme="minorEastAsia"/>
          <w:color w:val="000000"/>
          <w:sz w:val="21"/>
          <w:szCs w:val="32"/>
        </w:rPr>
        <w:sectPr>
          <w:pgSz w:w="11907" w:h="16839"/>
          <w:pgMar w:top="1985" w:right="1531" w:bottom="1701" w:left="1701" w:header="964" w:footer="851" w:gutter="0"/>
          <w:pgNumType w:fmt="decimal"/>
          <w:cols w:space="425" w:num="1"/>
          <w:docGrid w:linePitch="312" w:charSpace="0"/>
        </w:sectPr>
      </w:pPr>
    </w:p>
    <w:bookmarkEnd w:id="266"/>
    <w:p>
      <w:pPr>
        <w:pStyle w:val="3"/>
        <w:bidi w:val="0"/>
        <w:ind w:left="0" w:leftChars="0" w:firstLine="0" w:firstLineChars="0"/>
        <w:rPr>
          <w:rFonts w:hint="eastAsia"/>
        </w:rPr>
      </w:pPr>
      <w:bookmarkStart w:id="277" w:name="_Toc23434184"/>
      <w:bookmarkStart w:id="278" w:name="_Toc12693"/>
      <w:r>
        <w:rPr>
          <w:rFonts w:hint="eastAsia"/>
        </w:rPr>
        <w:t>职业期待吻合度</w:t>
      </w:r>
      <w:bookmarkEnd w:id="277"/>
      <w:bookmarkEnd w:id="278"/>
    </w:p>
    <w:p>
      <w:pPr>
        <w:pStyle w:val="4"/>
        <w:bidi w:val="0"/>
        <w:rPr>
          <w:rFonts w:hint="eastAsia"/>
        </w:rPr>
      </w:pPr>
      <w:bookmarkStart w:id="279" w:name="_Toc27289"/>
      <w:bookmarkStart w:id="280" w:name="icb_73"/>
      <w:bookmarkStart w:id="281" w:name="pb_513"/>
      <w:r>
        <w:rPr>
          <w:rFonts w:hint="eastAsia"/>
        </w:rPr>
        <w:t>毕业生的职业期待吻合度</w:t>
      </w:r>
      <w:bookmarkEnd w:id="279"/>
    </w:p>
    <w:p>
      <w:pPr>
        <w:pStyle w:val="7"/>
        <w:bidi w:val="0"/>
      </w:pPr>
      <w:r>
        <w:rPr>
          <w:rFonts w:hint="eastAsia"/>
        </w:rPr>
        <w:t>本校2019届毕业生的职业期待吻合度为48%。</w:t>
      </w:r>
    </w:p>
    <w:p>
      <w:pPr>
        <w:jc w:val="center"/>
        <w:rPr>
          <w:rFonts w:ascii="Calibri" w:hAnsi="Calibri"/>
        </w:rPr>
      </w:pPr>
      <w:r>
        <w:rPr>
          <w:rFonts w:ascii="Calibri" w:hAnsi="Calibri"/>
        </w:rPr>
        <w:drawing>
          <wp:inline distT="0" distB="0" distL="114300" distR="114300">
            <wp:extent cx="5210175" cy="2514600"/>
            <wp:effectExtent l="0" t="0" r="0" b="0"/>
            <wp:docPr id="74"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图片 12"/>
                    <pic:cNvPicPr>
                      <a:picLocks noChangeAspect="1"/>
                    </pic:cNvPicPr>
                  </pic:nvPicPr>
                  <pic:blipFill>
                    <a:blip r:embed="rId52"/>
                    <a:stretch>
                      <a:fillRect/>
                    </a:stretch>
                  </pic:blipFill>
                  <pic:spPr>
                    <a:xfrm>
                      <a:off x="0" y="0"/>
                      <a:ext cx="5210175" cy="2514600"/>
                    </a:xfrm>
                    <a:prstGeom prst="rect">
                      <a:avLst/>
                    </a:prstGeom>
                    <a:noFill/>
                    <a:ln>
                      <a:noFill/>
                    </a:ln>
                  </pic:spPr>
                </pic:pic>
              </a:graphicData>
            </a:graphic>
          </wp:inline>
        </w:drawing>
      </w:r>
    </w:p>
    <w:p>
      <w:pPr>
        <w:pStyle w:val="8"/>
        <w:numPr>
          <w:ilvl w:val="0"/>
          <w:numId w:val="0"/>
        </w:numPr>
        <w:spacing w:line="360" w:lineRule="auto"/>
        <w:jc w:val="center"/>
        <w:rPr>
          <w:rFonts w:hint="eastAsia" w:asciiTheme="minorEastAsia" w:hAnsiTheme="minorEastAsia" w:eastAsiaTheme="minorEastAsia" w:cstheme="minorEastAsia"/>
          <w:b/>
          <w:bCs/>
          <w:kern w:val="2"/>
          <w:sz w:val="21"/>
          <w:szCs w:val="21"/>
          <w:lang w:val="en-US" w:eastAsia="zh-CN" w:bidi="ar-SA"/>
        </w:rPr>
      </w:pPr>
      <w:bookmarkStart w:id="282" w:name="_Toc23442270"/>
      <w:r>
        <w:rPr>
          <w:rFonts w:hint="eastAsia" w:asciiTheme="minorEastAsia" w:hAnsiTheme="minorEastAsia" w:eastAsiaTheme="minorEastAsia" w:cstheme="minorEastAsia"/>
          <w:b/>
          <w:bCs/>
          <w:kern w:val="2"/>
          <w:sz w:val="21"/>
          <w:szCs w:val="21"/>
          <w:lang w:val="en-US" w:eastAsia="zh-CN" w:bidi="ar-SA"/>
        </w:rPr>
        <w:t>图 2-11毕业生的职业期待吻合度</w:t>
      </w:r>
      <w:bookmarkEnd w:id="282"/>
    </w:p>
    <w:p>
      <w:pPr>
        <w:jc w:val="left"/>
        <w:rPr>
          <w:rFonts w:hint="eastAsia" w:asciiTheme="minorEastAsia" w:hAnsiTheme="minorEastAsia" w:eastAsiaTheme="minorEastAsia" w:cstheme="minorEastAsia"/>
          <w:color w:val="000000"/>
          <w:sz w:val="21"/>
          <w:szCs w:val="32"/>
        </w:rPr>
      </w:pPr>
      <w:r>
        <w:rPr>
          <w:rFonts w:hint="eastAsia" w:asciiTheme="minorEastAsia" w:hAnsiTheme="minorEastAsia" w:eastAsiaTheme="minorEastAsia" w:cstheme="minorEastAsia"/>
          <w:color w:val="000000"/>
          <w:sz w:val="21"/>
          <w:szCs w:val="32"/>
        </w:rPr>
        <w:t>数据来源：麦可思-海南外国语职业学院2019届毕业生培养质量评价数据。</w:t>
      </w:r>
    </w:p>
    <w:p>
      <w:pPr>
        <w:jc w:val="left"/>
        <w:rPr>
          <w:rFonts w:hint="eastAsia" w:asciiTheme="minorEastAsia" w:hAnsiTheme="minorEastAsia" w:eastAsiaTheme="minorEastAsia" w:cstheme="minorEastAsia"/>
          <w:color w:val="000000"/>
          <w:sz w:val="21"/>
          <w:szCs w:val="32"/>
        </w:rPr>
      </w:pPr>
    </w:p>
    <w:bookmarkEnd w:id="280"/>
    <w:p>
      <w:pPr>
        <w:rPr>
          <w:rFonts w:hint="eastAsia" w:ascii="Calibri" w:hAnsi="Calibri"/>
        </w:rPr>
      </w:pPr>
    </w:p>
    <w:p>
      <w:pPr>
        <w:spacing w:line="240" w:lineRule="auto"/>
        <w:jc w:val="left"/>
        <w:rPr>
          <w:rFonts w:hint="eastAsia" w:ascii="Calibri" w:hAnsi="Calibri" w:cs="Arial"/>
          <w:kern w:val="0"/>
          <w:sz w:val="18"/>
          <w:szCs w:val="18"/>
        </w:rPr>
        <w:sectPr>
          <w:pgSz w:w="11907" w:h="16839"/>
          <w:pgMar w:top="1985" w:right="1531" w:bottom="1701" w:left="1701" w:header="964" w:footer="851" w:gutter="0"/>
          <w:pgNumType w:fmt="decimal"/>
          <w:cols w:space="425" w:num="1"/>
          <w:docGrid w:linePitch="312" w:charSpace="0"/>
        </w:sectPr>
      </w:pPr>
    </w:p>
    <w:bookmarkEnd w:id="281"/>
    <w:p>
      <w:pPr>
        <w:pStyle w:val="4"/>
        <w:bidi w:val="0"/>
        <w:ind w:left="0" w:leftChars="0" w:firstLine="400" w:firstLineChars="0"/>
        <w:rPr>
          <w:rFonts w:hint="eastAsia"/>
        </w:rPr>
      </w:pPr>
      <w:bookmarkStart w:id="283" w:name="_Toc1207"/>
      <w:bookmarkStart w:id="284" w:name="icb_8017"/>
      <w:r>
        <w:rPr>
          <w:rFonts w:hint="eastAsia"/>
        </w:rPr>
        <w:t>各专业的职业期待吻合度</w:t>
      </w:r>
      <w:bookmarkEnd w:id="283"/>
    </w:p>
    <w:p>
      <w:pPr>
        <w:pStyle w:val="7"/>
        <w:bidi w:val="0"/>
      </w:pPr>
      <w:r>
        <w:rPr>
          <w:rFonts w:hint="eastAsia"/>
        </w:rPr>
        <w:t>本校2019届毕业生职业期待吻合度较高的专业是应用英语（英语翻译）（61%）、应用英语（少儿师资）（58%），职业期待吻合度较低的专业是商务英语（33%）、电子商务（35%）。</w:t>
      </w:r>
    </w:p>
    <w:p>
      <w:pPr>
        <w:jc w:val="center"/>
        <w:rPr>
          <w:rFonts w:ascii="Calibri" w:hAnsi="Calibri" w:cs="Arial"/>
          <w:b/>
          <w:szCs w:val="21"/>
        </w:rPr>
      </w:pPr>
      <w:r>
        <w:rPr>
          <w:rFonts w:ascii="Calibri" w:hAnsi="Calibri" w:cs="Arial"/>
          <w:b/>
          <w:szCs w:val="21"/>
        </w:rPr>
        <w:drawing>
          <wp:inline distT="0" distB="0" distL="114300" distR="114300">
            <wp:extent cx="5067300" cy="5793740"/>
            <wp:effectExtent l="0" t="0" r="0" b="0"/>
            <wp:docPr id="77"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图片 13"/>
                    <pic:cNvPicPr>
                      <a:picLocks noChangeAspect="1"/>
                    </pic:cNvPicPr>
                  </pic:nvPicPr>
                  <pic:blipFill>
                    <a:blip r:embed="rId53"/>
                    <a:stretch>
                      <a:fillRect/>
                    </a:stretch>
                  </pic:blipFill>
                  <pic:spPr>
                    <a:xfrm>
                      <a:off x="0" y="0"/>
                      <a:ext cx="5067300" cy="5793740"/>
                    </a:xfrm>
                    <a:prstGeom prst="rect">
                      <a:avLst/>
                    </a:prstGeom>
                    <a:noFill/>
                    <a:ln>
                      <a:noFill/>
                    </a:ln>
                  </pic:spPr>
                </pic:pic>
              </a:graphicData>
            </a:graphic>
          </wp:inline>
        </w:drawing>
      </w:r>
    </w:p>
    <w:p>
      <w:pPr>
        <w:pStyle w:val="8"/>
        <w:numPr>
          <w:ilvl w:val="0"/>
          <w:numId w:val="0"/>
        </w:numPr>
        <w:spacing w:line="360" w:lineRule="auto"/>
        <w:jc w:val="center"/>
        <w:rPr>
          <w:rFonts w:hint="eastAsia" w:asciiTheme="minorEastAsia" w:hAnsiTheme="minorEastAsia" w:eastAsiaTheme="minorEastAsia" w:cstheme="minorEastAsia"/>
          <w:b/>
          <w:bCs/>
          <w:kern w:val="2"/>
          <w:sz w:val="21"/>
          <w:szCs w:val="21"/>
          <w:lang w:val="en-US" w:eastAsia="zh-CN" w:bidi="ar-SA"/>
        </w:rPr>
      </w:pPr>
      <w:bookmarkStart w:id="285" w:name="_Toc23442271"/>
      <w:r>
        <w:rPr>
          <w:rFonts w:hint="eastAsia" w:asciiTheme="minorEastAsia" w:hAnsiTheme="minorEastAsia" w:eastAsiaTheme="minorEastAsia" w:cstheme="minorEastAsia"/>
          <w:b/>
          <w:bCs/>
          <w:kern w:val="2"/>
          <w:sz w:val="21"/>
          <w:szCs w:val="21"/>
          <w:lang w:val="en-US" w:eastAsia="zh-CN" w:bidi="ar-SA"/>
        </w:rPr>
        <w:t>图 2-12各专业毕业生的职业期待吻合度</w:t>
      </w:r>
      <w:bookmarkEnd w:id="285"/>
    </w:p>
    <w:p>
      <w:pPr>
        <w:jc w:val="left"/>
        <w:rPr>
          <w:rFonts w:hint="eastAsia" w:asciiTheme="minorEastAsia" w:hAnsiTheme="minorEastAsia" w:eastAsiaTheme="minorEastAsia" w:cstheme="minorEastAsia"/>
          <w:color w:val="000000"/>
          <w:sz w:val="21"/>
          <w:szCs w:val="32"/>
        </w:rPr>
      </w:pPr>
      <w:r>
        <w:rPr>
          <w:rFonts w:hint="eastAsia" w:asciiTheme="minorEastAsia" w:hAnsiTheme="minorEastAsia" w:eastAsiaTheme="minorEastAsia" w:cstheme="minorEastAsia"/>
          <w:color w:val="000000"/>
          <w:sz w:val="21"/>
          <w:szCs w:val="32"/>
        </w:rPr>
        <w:t>注：个别专业因样本较少没有包括在内。</w:t>
      </w:r>
    </w:p>
    <w:p>
      <w:pPr>
        <w:jc w:val="left"/>
        <w:rPr>
          <w:rFonts w:hint="eastAsia"/>
        </w:rPr>
      </w:pPr>
      <w:r>
        <w:rPr>
          <w:rFonts w:hint="eastAsia" w:asciiTheme="minorEastAsia" w:hAnsiTheme="minorEastAsia" w:eastAsiaTheme="minorEastAsia" w:cstheme="minorEastAsia"/>
          <w:color w:val="000000"/>
          <w:sz w:val="21"/>
          <w:szCs w:val="32"/>
        </w:rPr>
        <w:t>数据来源：麦可思-海南外国语职业学院2019届毕业生培养质量评价数据。</w:t>
      </w:r>
      <w:bookmarkEnd w:id="225"/>
      <w:bookmarkEnd w:id="284"/>
      <w:bookmarkStart w:id="286" w:name="_Toc532230106"/>
      <w:bookmarkStart w:id="287" w:name="_Toc30687"/>
      <w:bookmarkStart w:id="288" w:name="_Toc436310995"/>
      <w:bookmarkStart w:id="289" w:name="_Toc436310954"/>
      <w:bookmarkStart w:id="290" w:name="_Toc532230184"/>
      <w:bookmarkStart w:id="291" w:name="_Toc18813_WPSOffice_Level1"/>
      <w:bookmarkStart w:id="292" w:name="_Toc4289_WPSOffice_Level1"/>
      <w:bookmarkStart w:id="293" w:name="_Toc436646133"/>
      <w:bookmarkStart w:id="294" w:name="_Toc382296220"/>
      <w:bookmarkStart w:id="295" w:name="_Toc382296152"/>
    </w:p>
    <w:p>
      <w:pPr>
        <w:pStyle w:val="2"/>
        <w:bidi w:val="0"/>
        <w:ind w:left="0" w:leftChars="0" w:firstLine="0" w:firstLineChars="0"/>
        <w:sectPr>
          <w:footerReference r:id="rId7" w:type="default"/>
          <w:headerReference r:id="rId6" w:type="even"/>
          <w:footerReference r:id="rId8" w:type="even"/>
          <w:footnotePr>
            <w:numRestart w:val="eachPage"/>
          </w:footnotePr>
          <w:pgSz w:w="11906" w:h="16838"/>
          <w:pgMar w:top="1985" w:right="1531" w:bottom="1701" w:left="1701" w:header="964" w:footer="851" w:gutter="0"/>
          <w:pgNumType w:fmt="decimal"/>
          <w:cols w:space="425" w:num="1"/>
          <w:docGrid w:linePitch="312" w:charSpace="0"/>
        </w:sectPr>
      </w:pPr>
    </w:p>
    <w:bookmarkEnd w:id="286"/>
    <w:bookmarkEnd w:id="287"/>
    <w:bookmarkEnd w:id="288"/>
    <w:bookmarkEnd w:id="289"/>
    <w:bookmarkEnd w:id="290"/>
    <w:bookmarkEnd w:id="291"/>
    <w:bookmarkEnd w:id="292"/>
    <w:bookmarkEnd w:id="293"/>
    <w:p>
      <w:pPr>
        <w:pStyle w:val="2"/>
        <w:bidi w:val="0"/>
        <w:ind w:left="0" w:leftChars="0" w:firstLine="0" w:firstLineChars="0"/>
      </w:pPr>
      <w:bookmarkStart w:id="296" w:name="_Toc3414"/>
      <w:bookmarkStart w:id="297" w:name="_Toc23434186"/>
      <w:r>
        <w:rPr>
          <w:rFonts w:hint="eastAsia"/>
        </w:rPr>
        <w:t>就业发展趋势分析</w:t>
      </w:r>
      <w:bookmarkEnd w:id="296"/>
    </w:p>
    <w:p>
      <w:pPr>
        <w:pStyle w:val="3"/>
        <w:bidi w:val="0"/>
      </w:pPr>
      <w:bookmarkStart w:id="298" w:name="_Toc23611"/>
      <w:r>
        <w:t>本校</w:t>
      </w:r>
      <w:r>
        <w:rPr>
          <w:rFonts w:hint="eastAsia"/>
        </w:rPr>
        <w:t>就业趋势性研判</w:t>
      </w:r>
      <w:bookmarkEnd w:id="298"/>
    </w:p>
    <w:p>
      <w:pPr>
        <w:pStyle w:val="4"/>
        <w:bidi w:val="0"/>
        <w:ind w:left="0" w:leftChars="0" w:firstLine="400" w:firstLineChars="0"/>
        <w:rPr>
          <w:rFonts w:hint="eastAsia" w:ascii="Calibri" w:hAnsi="Calibri"/>
        </w:rPr>
      </w:pPr>
      <w:bookmarkStart w:id="299" w:name="_Toc27999"/>
      <w:r>
        <w:rPr>
          <w:rFonts w:hint="eastAsia"/>
        </w:rPr>
        <w:t>升学对毕业生的去向分流可能会进一步扩大</w:t>
      </w:r>
      <w:bookmarkEnd w:id="299"/>
    </w:p>
    <w:p>
      <w:pPr>
        <w:pStyle w:val="7"/>
        <w:bidi w:val="0"/>
        <w:rPr>
          <w:rFonts w:ascii="Calibri" w:hAnsi="Calibri"/>
        </w:rPr>
      </w:pPr>
      <w:r>
        <w:rPr>
          <w:rFonts w:hint="eastAsia" w:ascii="Calibri" w:hAnsi="Calibri"/>
        </w:rPr>
        <w:t>本校</w:t>
      </w:r>
      <w:r>
        <w:rPr>
          <w:rFonts w:ascii="Calibri" w:hAnsi="Calibri"/>
        </w:rPr>
        <w:t>依据</w:t>
      </w:r>
      <w:r>
        <w:rPr>
          <w:rFonts w:hint="eastAsia" w:ascii="Calibri" w:hAnsi="Calibri"/>
        </w:rPr>
        <w:t>“一把手</w:t>
      </w:r>
      <w:r>
        <w:rPr>
          <w:rFonts w:ascii="Calibri" w:hAnsi="Calibri"/>
        </w:rPr>
        <w:t>主抓</w:t>
      </w:r>
      <w:r>
        <w:rPr>
          <w:rFonts w:hint="eastAsia" w:ascii="Calibri" w:hAnsi="Calibri"/>
        </w:rPr>
        <w:t>、</w:t>
      </w:r>
      <w:r>
        <w:rPr>
          <w:rFonts w:ascii="Calibri" w:hAnsi="Calibri"/>
        </w:rPr>
        <w:t>职能部门</w:t>
      </w:r>
      <w:r>
        <w:rPr>
          <w:rFonts w:hint="eastAsia" w:ascii="Calibri" w:hAnsi="Calibri"/>
        </w:rPr>
        <w:t>统筹</w:t>
      </w:r>
      <w:r>
        <w:rPr>
          <w:rFonts w:ascii="Calibri" w:hAnsi="Calibri"/>
        </w:rPr>
        <w:t>、</w:t>
      </w:r>
      <w:r>
        <w:rPr>
          <w:rFonts w:hint="eastAsia" w:ascii="Calibri" w:hAnsi="Calibri"/>
        </w:rPr>
        <w:t>学院落实</w:t>
      </w:r>
      <w:r>
        <w:rPr>
          <w:rFonts w:ascii="Calibri" w:hAnsi="Calibri"/>
        </w:rPr>
        <w:t>、</w:t>
      </w:r>
      <w:r>
        <w:rPr>
          <w:rFonts w:hint="eastAsia" w:ascii="Calibri" w:hAnsi="Calibri"/>
        </w:rPr>
        <w:t>全员</w:t>
      </w:r>
      <w:r>
        <w:rPr>
          <w:rFonts w:ascii="Calibri" w:hAnsi="Calibri"/>
        </w:rPr>
        <w:t>参与</w:t>
      </w:r>
      <w:r>
        <w:rPr>
          <w:rFonts w:hint="eastAsia" w:ascii="Calibri" w:hAnsi="Calibri"/>
        </w:rPr>
        <w:t>”的</w:t>
      </w:r>
      <w:r>
        <w:rPr>
          <w:rFonts w:ascii="Calibri" w:hAnsi="Calibri"/>
        </w:rPr>
        <w:t>就业工作机制，</w:t>
      </w:r>
      <w:r>
        <w:rPr>
          <w:rFonts w:hint="eastAsia" w:ascii="Calibri" w:hAnsi="Calibri"/>
        </w:rPr>
        <w:t>有序</w:t>
      </w:r>
      <w:r>
        <w:rPr>
          <w:rFonts w:ascii="Calibri" w:hAnsi="Calibri"/>
        </w:rPr>
        <w:t>开展毕业生就业指导服务工作</w:t>
      </w:r>
      <w:r>
        <w:rPr>
          <w:rFonts w:hint="eastAsia" w:ascii="Calibri" w:hAnsi="Calibri"/>
        </w:rPr>
        <w:t>，</w:t>
      </w:r>
      <w:r>
        <w:rPr>
          <w:rFonts w:hint="eastAsia" w:ascii="宋体" w:hAnsi="宋体"/>
          <w:szCs w:val="21"/>
        </w:rPr>
        <w:t>就业</w:t>
      </w:r>
      <w:r>
        <w:rPr>
          <w:rFonts w:ascii="宋体" w:hAnsi="宋体"/>
          <w:szCs w:val="21"/>
        </w:rPr>
        <w:t>落实工作取得良好成效</w:t>
      </w:r>
      <w:r>
        <w:rPr>
          <w:rFonts w:hint="eastAsia" w:ascii="宋体" w:hAnsi="宋体"/>
          <w:szCs w:val="21"/>
        </w:rPr>
        <w:t>。</w:t>
      </w:r>
      <w:r>
        <w:rPr>
          <w:rFonts w:hint="eastAsia" w:ascii="Calibri" w:hAnsi="Calibri" w:cs="Arial"/>
          <w:kern w:val="0"/>
          <w:szCs w:val="21"/>
        </w:rPr>
        <w:t>截至</w:t>
      </w:r>
      <w:r>
        <w:rPr>
          <w:rFonts w:ascii="Calibri" w:hAnsi="Calibri" w:cs="Calibri"/>
          <w:szCs w:val="21"/>
        </w:rPr>
        <w:t>2019年08月31日</w:t>
      </w:r>
      <w:r>
        <w:rPr>
          <w:rFonts w:hint="eastAsia" w:ascii="Calibri" w:hAnsi="Calibri" w:cs="Calibri"/>
          <w:szCs w:val="21"/>
        </w:rPr>
        <w:t>，</w:t>
      </w:r>
      <w:r>
        <w:rPr>
          <w:rFonts w:hint="eastAsia" w:ascii="宋体" w:hAnsi="宋体"/>
          <w:szCs w:val="21"/>
        </w:rPr>
        <w:t>本校</w:t>
      </w:r>
      <w:r>
        <w:rPr>
          <w:rFonts w:hint="eastAsia" w:ascii="Calibri" w:hAnsi="Calibri"/>
        </w:rPr>
        <w:t>2</w:t>
      </w:r>
      <w:r>
        <w:rPr>
          <w:rFonts w:ascii="Calibri" w:hAnsi="Calibri"/>
        </w:rPr>
        <w:t>019届</w:t>
      </w:r>
      <w:r>
        <w:rPr>
          <w:rFonts w:hint="eastAsia" w:ascii="Calibri" w:hAnsi="Calibri"/>
        </w:rPr>
        <w:t>毕业生</w:t>
      </w:r>
      <w:r>
        <w:rPr>
          <w:rFonts w:ascii="Calibri" w:hAnsi="Calibri"/>
        </w:rPr>
        <w:t>的就业率</w:t>
      </w:r>
      <w:r>
        <w:rPr>
          <w:rFonts w:hint="eastAsia" w:ascii="Calibri" w:hAnsi="Calibri"/>
        </w:rPr>
        <w:t>为</w:t>
      </w:r>
      <w:r>
        <w:rPr>
          <w:rFonts w:ascii="Calibri" w:hAnsi="Calibri" w:cs="Arial"/>
          <w:kern w:val="0"/>
          <w:szCs w:val="21"/>
        </w:rPr>
        <w:t>91</w:t>
      </w:r>
      <w:r>
        <w:rPr>
          <w:rFonts w:hint="eastAsia" w:ascii="Calibri" w:hAnsi="Calibri" w:cs="Arial"/>
          <w:kern w:val="0"/>
          <w:szCs w:val="21"/>
        </w:rPr>
        <w:t>.7%，</w:t>
      </w:r>
      <w:r>
        <w:rPr>
          <w:rFonts w:hint="eastAsia" w:ascii="Calibri" w:hAnsi="Calibri"/>
        </w:rPr>
        <w:t>保持在较高水平</w:t>
      </w:r>
      <w:r>
        <w:rPr>
          <w:rFonts w:hint="eastAsia"/>
        </w:rPr>
        <w:t>。从去向分布来看</w:t>
      </w:r>
      <w:r>
        <w:t>，</w:t>
      </w:r>
      <w:r>
        <w:rPr>
          <w:rFonts w:hint="eastAsia" w:ascii="Calibri" w:hAnsi="Calibri" w:cs="Arial"/>
          <w:szCs w:val="21"/>
        </w:rPr>
        <w:t>除了签约就业以外，升学渠道对毕业生的分流也较大</w:t>
      </w:r>
      <w:r>
        <w:rPr>
          <w:rFonts w:ascii="Calibri" w:hAnsi="Calibri" w:cs="Arial"/>
          <w:szCs w:val="21"/>
        </w:rPr>
        <w:t>，</w:t>
      </w:r>
      <w:r>
        <w:rPr>
          <w:rFonts w:hint="eastAsia" w:ascii="Calibri" w:hAnsi="Calibri" w:cs="Arial"/>
          <w:szCs w:val="21"/>
        </w:rPr>
        <w:t>2019届</w:t>
      </w:r>
      <w:r>
        <w:rPr>
          <w:rFonts w:ascii="Calibri" w:hAnsi="Calibri" w:cs="Arial"/>
          <w:szCs w:val="21"/>
        </w:rPr>
        <w:t>有14.0%的毕业生</w:t>
      </w:r>
      <w:r>
        <w:rPr>
          <w:rFonts w:hint="eastAsia" w:ascii="Calibri" w:hAnsi="Calibri" w:cs="Arial"/>
          <w:szCs w:val="21"/>
        </w:rPr>
        <w:t>选择升学。</w:t>
      </w:r>
      <w:r>
        <w:rPr>
          <w:rFonts w:ascii="Calibri" w:hAnsi="Calibri"/>
          <w:szCs w:val="21"/>
        </w:rPr>
        <w:t>受就业压力</w:t>
      </w:r>
      <w:r>
        <w:rPr>
          <w:rFonts w:hint="eastAsia" w:ascii="Calibri" w:hAnsi="Calibri"/>
          <w:szCs w:val="21"/>
        </w:rPr>
        <w:t>的</w:t>
      </w:r>
      <w:r>
        <w:rPr>
          <w:rFonts w:ascii="Calibri" w:hAnsi="Calibri"/>
          <w:szCs w:val="21"/>
        </w:rPr>
        <w:t>影响，更多毕业生选择</w:t>
      </w:r>
      <w:r>
        <w:rPr>
          <w:rFonts w:hint="eastAsia" w:ascii="Calibri" w:hAnsi="Calibri"/>
          <w:szCs w:val="21"/>
        </w:rPr>
        <w:t>通过学历提升来增强自身的</w:t>
      </w:r>
      <w:r>
        <w:rPr>
          <w:rFonts w:ascii="Calibri" w:hAnsi="Calibri"/>
          <w:szCs w:val="21"/>
        </w:rPr>
        <w:t>就业</w:t>
      </w:r>
      <w:r>
        <w:rPr>
          <w:rFonts w:hint="eastAsia" w:ascii="Calibri" w:hAnsi="Calibri"/>
          <w:szCs w:val="21"/>
        </w:rPr>
        <w:t>竞争力</w:t>
      </w:r>
      <w:r>
        <w:rPr>
          <w:rFonts w:ascii="Calibri" w:hAnsi="Calibri"/>
          <w:szCs w:val="21"/>
        </w:rPr>
        <w:t>。</w:t>
      </w:r>
      <w:r>
        <w:rPr>
          <w:rFonts w:hint="eastAsia" w:ascii="Calibri" w:hAnsi="Calibri"/>
        </w:rPr>
        <w:t>在当前就业压力较大的情况下，未来毕业生选择升学的意愿可能会持续较高，升学对毕业生的去向分流将进一步扩大。</w:t>
      </w:r>
    </w:p>
    <w:p>
      <w:pPr>
        <w:pStyle w:val="4"/>
        <w:bidi w:val="0"/>
        <w:ind w:left="0" w:leftChars="0" w:firstLine="400" w:firstLineChars="0"/>
      </w:pPr>
      <w:bookmarkStart w:id="300" w:name="_Toc27567"/>
      <w:r>
        <w:rPr>
          <w:rFonts w:hint="eastAsia"/>
        </w:rPr>
        <w:t>“一带一路”等重大发展战略的推进为毕业生就业提供了新机遇</w:t>
      </w:r>
      <w:bookmarkEnd w:id="300"/>
    </w:p>
    <w:p>
      <w:pPr>
        <w:pStyle w:val="7"/>
        <w:bidi w:val="0"/>
      </w:pPr>
      <w:r>
        <w:rPr>
          <w:rFonts w:hint="eastAsia"/>
          <w:lang w:val="en-US" w:eastAsia="zh-CN"/>
        </w:rPr>
        <w:t>随着“一带一路”战略的深入推进，“一带一路”沿线地区将为毕业生的就业与发展提供全新机遇。本校2019届就业的毕业生中，有半数以上（51.8%）在省内就业，为海南省建设“一带一路”桥头堡以及国际旅游岛提供了有力支撑。与此同时，广东省对本校毕业生的吸纳程度也较高，2019届毕业生前往广东就业的比例达35.3%，其中就业量最大的城市为深圳（16.0%），且就业比例与2016届（9.0%）相比上升明显。</w:t>
      </w:r>
      <w:r>
        <w:rPr>
          <w:rFonts w:hint="eastAsia"/>
        </w:rPr>
        <w:t>伴随着粤港澳大湾区的建设与发展，广东省（特别是深圳市）仍</w:t>
      </w:r>
    </w:p>
    <w:p>
      <w:pPr>
        <w:pStyle w:val="2"/>
        <w:numPr>
          <w:ilvl w:val="0"/>
          <w:numId w:val="0"/>
        </w:numPr>
        <w:bidi w:val="0"/>
        <w:ind w:leftChars="0"/>
        <w:jc w:val="both"/>
      </w:pPr>
    </w:p>
    <w:bookmarkEnd w:id="297"/>
    <w:p>
      <w:pPr>
        <w:pStyle w:val="7"/>
        <w:bidi w:val="0"/>
        <w:ind w:left="0" w:leftChars="0" w:firstLine="0" w:firstLineChars="0"/>
      </w:pPr>
      <w:r>
        <w:rPr>
          <w:rFonts w:hint="eastAsia"/>
        </w:rPr>
        <w:t>将继续保持对本校毕业生较大的吸引力，并为毕业生的就业与发展提供良好的平台。</w:t>
      </w:r>
    </w:p>
    <w:p>
      <w:pPr>
        <w:pStyle w:val="4"/>
        <w:bidi w:val="0"/>
        <w:ind w:left="0" w:leftChars="0" w:firstLine="400" w:firstLineChars="0"/>
      </w:pPr>
      <w:bookmarkStart w:id="301" w:name="_Toc6648"/>
      <w:r>
        <w:rPr>
          <w:rFonts w:hint="eastAsia"/>
        </w:rPr>
        <w:t>民营企业、中小企业将继续充当吸纳毕业生就业的主体</w:t>
      </w:r>
      <w:bookmarkEnd w:id="301"/>
    </w:p>
    <w:p>
      <w:pPr>
        <w:pStyle w:val="7"/>
        <w:bidi w:val="0"/>
        <w:rPr>
          <w:color w:val="000000"/>
        </w:rPr>
      </w:pPr>
      <w:r>
        <w:rPr>
          <w:rFonts w:hint="eastAsia" w:ascii="Calibri" w:hAnsi="Calibri" w:cs="Calibri"/>
          <w:b w:val="0"/>
          <w:color w:val="000000"/>
          <w:szCs w:val="21"/>
          <w:lang w:eastAsia="zh-CN"/>
        </w:rPr>
        <w:t>随着国家一系列关于</w:t>
      </w:r>
      <w:r>
        <w:rPr>
          <w:rFonts w:hint="eastAsia" w:ascii="Calibri" w:hAnsi="Calibri" w:cs="Calibri"/>
          <w:b w:val="0"/>
          <w:color w:val="000000"/>
          <w:szCs w:val="21"/>
        </w:rPr>
        <w:t>扶持</w:t>
      </w:r>
      <w:r>
        <w:rPr>
          <w:rFonts w:hint="eastAsia"/>
          <w:b w:val="0"/>
        </w:rPr>
        <w:t>民营企业、</w:t>
      </w:r>
      <w:r>
        <w:rPr>
          <w:rFonts w:hint="eastAsia" w:ascii="Calibri" w:hAnsi="Calibri" w:cs="Calibri"/>
          <w:b w:val="0"/>
          <w:color w:val="000000"/>
          <w:szCs w:val="21"/>
        </w:rPr>
        <w:t>中小企业发展的</w:t>
      </w:r>
      <w:r>
        <w:rPr>
          <w:rFonts w:hint="eastAsia" w:ascii="Calibri" w:hAnsi="Calibri" w:cs="Calibri"/>
          <w:b w:val="0"/>
          <w:color w:val="000000"/>
          <w:szCs w:val="21"/>
          <w:lang w:eastAsia="zh-CN"/>
        </w:rPr>
        <w:t>政策措施的落地实施，</w:t>
      </w:r>
      <w:r>
        <w:rPr>
          <w:rFonts w:hint="eastAsia" w:ascii="Calibri" w:hAnsi="Calibri" w:cs="宋体"/>
          <w:b w:val="0"/>
          <w:lang w:eastAsia="zh-CN"/>
        </w:rPr>
        <w:t>企业的活力将进一步释放，从而为毕业生就业落实的稳定提供有力保障。</w:t>
      </w:r>
      <w:r>
        <w:rPr>
          <w:rFonts w:hint="eastAsia" w:ascii="Calibri" w:hAnsi="Calibri" w:cs="Calibri"/>
          <w:b w:val="0"/>
          <w:color w:val="000000"/>
          <w:szCs w:val="21"/>
        </w:rPr>
        <w:t>从就业单位</w:t>
      </w:r>
      <w:r>
        <w:rPr>
          <w:rFonts w:hint="eastAsia" w:ascii="Calibri" w:hAnsi="Calibri" w:cs="Calibri"/>
          <w:b w:val="0"/>
          <w:color w:val="000000"/>
          <w:szCs w:val="21"/>
          <w:lang w:eastAsia="zh-CN"/>
        </w:rPr>
        <w:t>选择</w:t>
      </w:r>
      <w:r>
        <w:rPr>
          <w:rFonts w:hint="eastAsia" w:ascii="Calibri" w:hAnsi="Calibri" w:cs="Calibri"/>
          <w:b w:val="0"/>
          <w:color w:val="000000"/>
          <w:szCs w:val="21"/>
        </w:rPr>
        <w:t>看，</w:t>
      </w:r>
      <w:r>
        <w:rPr>
          <w:rFonts w:hint="eastAsia" w:ascii="Calibri" w:hAnsi="Calibri" w:cs="Calibri"/>
          <w:b w:val="0"/>
          <w:color w:val="000000"/>
          <w:szCs w:val="21"/>
          <w:lang w:eastAsia="zh-CN"/>
        </w:rPr>
        <w:t>本校</w:t>
      </w:r>
      <w:r>
        <w:rPr>
          <w:rFonts w:hint="eastAsia" w:ascii="Calibri" w:hAnsi="Calibri" w:cs="Calibri"/>
          <w:b w:val="0"/>
          <w:color w:val="000000"/>
          <w:szCs w:val="21"/>
        </w:rPr>
        <w:t>毕业生</w:t>
      </w:r>
      <w:r>
        <w:rPr>
          <w:rFonts w:hint="eastAsia" w:ascii="Calibri" w:hAnsi="Calibri" w:cs="Calibri"/>
          <w:b w:val="0"/>
          <w:color w:val="000000"/>
          <w:szCs w:val="21"/>
          <w:lang w:eastAsia="zh-CN"/>
        </w:rPr>
        <w:t>的</w:t>
      </w:r>
      <w:r>
        <w:rPr>
          <w:rFonts w:hint="eastAsia" w:ascii="Calibri" w:hAnsi="Calibri" w:cs="Calibri"/>
          <w:b w:val="0"/>
          <w:color w:val="000000"/>
          <w:szCs w:val="21"/>
        </w:rPr>
        <w:t>就业单位以企业为主，</w:t>
      </w:r>
      <w:r>
        <w:rPr>
          <w:rFonts w:hint="eastAsia" w:ascii="Calibri" w:hAnsi="Calibri" w:cs="Calibri"/>
          <w:b w:val="0"/>
          <w:color w:val="000000"/>
          <w:szCs w:val="21"/>
          <w:lang w:eastAsia="zh-CN"/>
        </w:rPr>
        <w:t>其中民营企业是其就业的主体，近三届在民企就业的比例（分别为7</w:t>
      </w:r>
      <w:r>
        <w:rPr>
          <w:rFonts w:ascii="Calibri" w:hAnsi="Calibri" w:cs="Calibri"/>
          <w:b w:val="0"/>
          <w:color w:val="000000"/>
          <w:szCs w:val="21"/>
          <w:lang w:eastAsia="zh-CN"/>
        </w:rPr>
        <w:t>1%</w:t>
      </w:r>
      <w:r>
        <w:rPr>
          <w:rFonts w:hint="eastAsia" w:ascii="Calibri" w:hAnsi="Calibri" w:cs="Calibri"/>
          <w:b w:val="0"/>
          <w:color w:val="000000"/>
          <w:szCs w:val="21"/>
          <w:lang w:eastAsia="zh-CN"/>
        </w:rPr>
        <w:t>、7</w:t>
      </w:r>
      <w:r>
        <w:rPr>
          <w:rFonts w:ascii="Calibri" w:hAnsi="Calibri" w:cs="Calibri"/>
          <w:b w:val="0"/>
          <w:color w:val="000000"/>
          <w:szCs w:val="21"/>
          <w:lang w:eastAsia="zh-CN"/>
        </w:rPr>
        <w:t>0%</w:t>
      </w:r>
      <w:r>
        <w:rPr>
          <w:rFonts w:hint="eastAsia" w:ascii="Calibri" w:hAnsi="Calibri" w:cs="Calibri"/>
          <w:b w:val="0"/>
          <w:color w:val="000000"/>
          <w:szCs w:val="21"/>
          <w:lang w:eastAsia="zh-CN"/>
        </w:rPr>
        <w:t>、7</w:t>
      </w:r>
      <w:r>
        <w:rPr>
          <w:rFonts w:ascii="Calibri" w:hAnsi="Calibri" w:cs="Calibri"/>
          <w:b w:val="0"/>
          <w:color w:val="000000"/>
          <w:szCs w:val="21"/>
          <w:lang w:eastAsia="zh-CN"/>
        </w:rPr>
        <w:t>2%</w:t>
      </w:r>
      <w:r>
        <w:rPr>
          <w:rFonts w:hint="eastAsia" w:ascii="Calibri" w:hAnsi="Calibri" w:cs="Calibri"/>
          <w:b w:val="0"/>
          <w:color w:val="000000"/>
          <w:szCs w:val="21"/>
          <w:lang w:eastAsia="zh-CN"/>
        </w:rPr>
        <w:t>）持续较高；</w:t>
      </w:r>
      <w:r>
        <w:rPr>
          <w:rFonts w:hint="eastAsia" w:ascii="Calibri" w:hAnsi="Calibri" w:cs="Calibri"/>
          <w:b w:val="0"/>
          <w:color w:val="000000"/>
          <w:szCs w:val="21"/>
        </w:rPr>
        <w:t>毕业生就业</w:t>
      </w:r>
      <w:r>
        <w:rPr>
          <w:rFonts w:hint="eastAsia" w:ascii="Calibri" w:hAnsi="Calibri" w:cs="Calibri"/>
          <w:b w:val="0"/>
          <w:color w:val="000000"/>
          <w:szCs w:val="21"/>
          <w:lang w:eastAsia="zh-CN"/>
        </w:rPr>
        <w:t>单位以</w:t>
      </w:r>
      <w:r>
        <w:rPr>
          <w:rFonts w:hint="eastAsia" w:ascii="Calibri" w:hAnsi="Calibri" w:cs="Calibri"/>
          <w:b w:val="0"/>
          <w:color w:val="000000"/>
          <w:szCs w:val="21"/>
        </w:rPr>
        <w:t>300人及以下规模的中小型单位</w:t>
      </w:r>
      <w:r>
        <w:rPr>
          <w:rFonts w:hint="eastAsia" w:ascii="Calibri" w:hAnsi="Calibri" w:cs="Calibri"/>
          <w:b w:val="0"/>
          <w:color w:val="000000"/>
          <w:szCs w:val="21"/>
          <w:lang w:eastAsia="zh-CN"/>
        </w:rPr>
        <w:t>为主</w:t>
      </w:r>
      <w:r>
        <w:rPr>
          <w:rFonts w:hint="eastAsia" w:ascii="Calibri" w:hAnsi="Calibri" w:cs="Calibri"/>
          <w:b w:val="0"/>
          <w:color w:val="000000"/>
          <w:szCs w:val="21"/>
        </w:rPr>
        <w:t>（近</w:t>
      </w:r>
      <w:r>
        <w:rPr>
          <w:rFonts w:hint="eastAsia" w:ascii="Calibri" w:hAnsi="Calibri" w:cs="Calibri"/>
          <w:b w:val="0"/>
          <w:color w:val="000000"/>
          <w:szCs w:val="21"/>
          <w:lang w:eastAsia="zh-CN"/>
        </w:rPr>
        <w:t>三</w:t>
      </w:r>
      <w:r>
        <w:rPr>
          <w:rFonts w:hint="eastAsia" w:ascii="Calibri" w:hAnsi="Calibri" w:cs="Calibri"/>
          <w:b w:val="0"/>
          <w:color w:val="000000"/>
          <w:szCs w:val="21"/>
        </w:rPr>
        <w:t>届分别为</w:t>
      </w:r>
      <w:r>
        <w:rPr>
          <w:rFonts w:hint="eastAsia" w:ascii="Calibri" w:hAnsi="Calibri" w:cs="Calibri"/>
          <w:b w:val="0"/>
          <w:color w:val="000000"/>
          <w:szCs w:val="21"/>
          <w:lang w:eastAsia="zh-CN"/>
        </w:rPr>
        <w:t>6</w:t>
      </w:r>
      <w:r>
        <w:rPr>
          <w:rFonts w:ascii="Calibri" w:hAnsi="Calibri" w:cs="Calibri"/>
          <w:b w:val="0"/>
          <w:color w:val="000000"/>
          <w:szCs w:val="21"/>
          <w:lang w:eastAsia="zh-CN"/>
        </w:rPr>
        <w:t>5%</w:t>
      </w:r>
      <w:r>
        <w:rPr>
          <w:rFonts w:hint="eastAsia" w:ascii="Calibri" w:hAnsi="Calibri" w:cs="Calibri"/>
          <w:b w:val="0"/>
          <w:color w:val="000000"/>
          <w:szCs w:val="21"/>
          <w:lang w:eastAsia="zh-CN"/>
        </w:rPr>
        <w:t>、</w:t>
      </w:r>
      <w:r>
        <w:rPr>
          <w:rFonts w:ascii="Calibri" w:hAnsi="Calibri" w:cs="Calibri"/>
          <w:b w:val="0"/>
          <w:color w:val="000000"/>
          <w:szCs w:val="21"/>
        </w:rPr>
        <w:t>67%</w:t>
      </w:r>
      <w:r>
        <w:rPr>
          <w:rFonts w:hint="eastAsia" w:ascii="Calibri" w:hAnsi="Calibri" w:cs="Calibri"/>
          <w:b w:val="0"/>
          <w:color w:val="000000"/>
          <w:szCs w:val="21"/>
        </w:rPr>
        <w:t>、</w:t>
      </w:r>
      <w:r>
        <w:rPr>
          <w:rFonts w:ascii="Calibri" w:hAnsi="Calibri" w:cs="Calibri"/>
          <w:b w:val="0"/>
          <w:color w:val="000000"/>
          <w:szCs w:val="21"/>
        </w:rPr>
        <w:t>64%</w:t>
      </w:r>
      <w:r>
        <w:rPr>
          <w:rFonts w:hint="eastAsia" w:ascii="Calibri" w:hAnsi="Calibri" w:cs="Calibri"/>
          <w:b w:val="0"/>
          <w:color w:val="000000"/>
          <w:szCs w:val="21"/>
        </w:rPr>
        <w:t>）。</w:t>
      </w:r>
      <w:r>
        <w:rPr>
          <w:rFonts w:hint="eastAsia" w:ascii="Calibri" w:hAnsi="Calibri" w:cs="Calibri"/>
          <w:b w:val="0"/>
          <w:color w:val="000000"/>
          <w:szCs w:val="21"/>
          <w:lang w:eastAsia="zh-CN"/>
        </w:rPr>
        <w:t>未来</w:t>
      </w:r>
      <w:r>
        <w:rPr>
          <w:rFonts w:hint="eastAsia"/>
          <w:b w:val="0"/>
        </w:rPr>
        <w:t>民营企业、</w:t>
      </w:r>
      <w:r>
        <w:rPr>
          <w:rFonts w:hint="eastAsia" w:ascii="Calibri" w:hAnsi="Calibri" w:cs="Calibri"/>
          <w:b w:val="0"/>
          <w:color w:val="000000"/>
          <w:szCs w:val="21"/>
        </w:rPr>
        <w:t>中小企业</w:t>
      </w:r>
      <w:r>
        <w:rPr>
          <w:rFonts w:hint="eastAsia" w:ascii="Calibri" w:hAnsi="Calibri" w:cs="Calibri"/>
          <w:b w:val="0"/>
          <w:color w:val="000000"/>
          <w:szCs w:val="21"/>
          <w:lang w:eastAsia="zh-CN"/>
        </w:rPr>
        <w:t>依然将继续充当吸纳毕业生就业的主力军</w:t>
      </w:r>
      <w:r>
        <w:rPr>
          <w:rFonts w:hint="eastAsia" w:ascii="Calibri" w:hAnsi="Calibri" w:cs="Calibri"/>
          <w:b w:val="0"/>
          <w:color w:val="000000"/>
          <w:szCs w:val="21"/>
        </w:rPr>
        <w:t>。</w:t>
      </w:r>
    </w:p>
    <w:p>
      <w:pPr>
        <w:rPr>
          <w:b/>
        </w:rPr>
      </w:pPr>
    </w:p>
    <w:p>
      <w:pPr>
        <w:rPr>
          <w:rFonts w:hint="eastAsia" w:ascii="Calibri" w:hAnsi="Calibri"/>
        </w:rPr>
        <w:sectPr>
          <w:footnotePr>
            <w:numRestart w:val="eachPage"/>
          </w:footnotePr>
          <w:pgSz w:w="11906" w:h="16838"/>
          <w:pgMar w:top="1985" w:right="1531" w:bottom="1701" w:left="1701" w:header="964" w:footer="851" w:gutter="0"/>
          <w:pgNumType w:fmt="decimal"/>
          <w:cols w:space="425" w:num="1"/>
          <w:docGrid w:linePitch="312" w:charSpace="0"/>
        </w:sectPr>
      </w:pPr>
    </w:p>
    <w:p>
      <w:pPr>
        <w:pStyle w:val="3"/>
        <w:bidi w:val="0"/>
        <w:ind w:left="0" w:leftChars="0" w:firstLine="0" w:firstLineChars="0"/>
      </w:pPr>
      <w:bookmarkStart w:id="302" w:name="_Toc23434187"/>
      <w:bookmarkStart w:id="303" w:name="_Toc6178"/>
      <w:bookmarkStart w:id="304" w:name="pb_42"/>
      <w:r>
        <w:rPr>
          <w:rFonts w:hint="eastAsia"/>
        </w:rPr>
        <w:t>就业特点变化趋势</w:t>
      </w:r>
      <w:bookmarkEnd w:id="302"/>
      <w:bookmarkEnd w:id="303"/>
    </w:p>
    <w:p>
      <w:pPr>
        <w:pStyle w:val="4"/>
        <w:bidi w:val="0"/>
        <w:ind w:left="0" w:leftChars="0" w:firstLine="400" w:firstLineChars="0"/>
      </w:pPr>
      <w:bookmarkStart w:id="305" w:name="_Toc23434188"/>
      <w:bookmarkStart w:id="306" w:name="_Toc13448"/>
      <w:bookmarkStart w:id="307" w:name="_Toc531613901"/>
      <w:bookmarkStart w:id="308" w:name="pb_505"/>
      <w:bookmarkStart w:id="309" w:name="itb_164"/>
      <w:r>
        <w:rPr>
          <w:rFonts w:hint="eastAsia"/>
        </w:rPr>
        <w:t>职业变化趋势</w:t>
      </w:r>
      <w:bookmarkEnd w:id="305"/>
      <w:bookmarkEnd w:id="306"/>
      <w:bookmarkEnd w:id="307"/>
    </w:p>
    <w:p>
      <w:pPr>
        <w:pStyle w:val="7"/>
        <w:bidi w:val="0"/>
        <w:rPr>
          <w:rFonts w:hint="eastAsia"/>
          <w:lang w:eastAsia="zh-CN"/>
        </w:rPr>
      </w:pPr>
      <w:r>
        <w:rPr>
          <w:rFonts w:hint="eastAsia"/>
          <w:lang w:eastAsia="zh-CN"/>
        </w:rPr>
        <w:t>本校2019届毕业生就业比例较高的职业类为销售（19.0%）、餐饮/娱乐（13.7%）、酒店/旅游/会展（9.5%）。从趋势变化来看，近三届毕业生从事“销售”、“餐饮/娱乐”等职业类的比例均呈上升趋势。</w:t>
      </w:r>
    </w:p>
    <w:p>
      <w:pPr>
        <w:pStyle w:val="8"/>
        <w:numPr>
          <w:ilvl w:val="0"/>
          <w:numId w:val="0"/>
        </w:numPr>
        <w:spacing w:line="360" w:lineRule="auto"/>
        <w:jc w:val="center"/>
        <w:rPr>
          <w:rFonts w:hint="eastAsia" w:asciiTheme="minorEastAsia" w:hAnsiTheme="minorEastAsia" w:eastAsiaTheme="minorEastAsia" w:cstheme="minorEastAsia"/>
          <w:b/>
          <w:bCs/>
          <w:kern w:val="2"/>
          <w:sz w:val="21"/>
          <w:szCs w:val="21"/>
          <w:lang w:val="en-US" w:eastAsia="zh-CN" w:bidi="ar-SA"/>
        </w:rPr>
      </w:pPr>
      <w:bookmarkStart w:id="310" w:name="_Toc531614266"/>
      <w:bookmarkStart w:id="311" w:name="_Toc497148141"/>
      <w:bookmarkStart w:id="312" w:name="_Toc23442273"/>
      <w:r>
        <w:rPr>
          <w:rFonts w:hint="eastAsia" w:asciiTheme="minorEastAsia" w:hAnsiTheme="minorEastAsia" w:eastAsiaTheme="minorEastAsia" w:cstheme="minorEastAsia"/>
          <w:b/>
          <w:bCs/>
          <w:kern w:val="2"/>
          <w:sz w:val="21"/>
          <w:szCs w:val="21"/>
          <w:lang w:val="en-US" w:eastAsia="zh-CN" w:bidi="ar-SA"/>
        </w:rPr>
        <w:t>表 3-1主要职业类需求变化趋势</w:t>
      </w:r>
      <w:bookmarkEnd w:id="310"/>
      <w:bookmarkEnd w:id="311"/>
      <w:bookmarkEnd w:id="312"/>
    </w:p>
    <w:tbl>
      <w:tblPr>
        <w:tblStyle w:val="14"/>
        <w:tblW w:w="8890" w:type="dxa"/>
        <w:tblInd w:w="0" w:type="dxa"/>
        <w:tblLayout w:type="fixed"/>
        <w:tblCellMar>
          <w:top w:w="0" w:type="dxa"/>
          <w:left w:w="108" w:type="dxa"/>
          <w:bottom w:w="0" w:type="dxa"/>
          <w:right w:w="108" w:type="dxa"/>
        </w:tblCellMar>
      </w:tblPr>
      <w:tblGrid>
        <w:gridCol w:w="2973"/>
        <w:gridCol w:w="1972"/>
        <w:gridCol w:w="1972"/>
        <w:gridCol w:w="1973"/>
      </w:tblGrid>
      <w:tr>
        <w:tblPrEx>
          <w:tblCellMar>
            <w:top w:w="0" w:type="dxa"/>
            <w:left w:w="108" w:type="dxa"/>
            <w:bottom w:w="0" w:type="dxa"/>
            <w:right w:w="108" w:type="dxa"/>
          </w:tblCellMar>
        </w:tblPrEx>
        <w:trPr>
          <w:trHeight w:val="270" w:hRule="atLeast"/>
          <w:tblHeader/>
        </w:trPr>
        <w:tc>
          <w:tcPr>
            <w:tcW w:w="2973" w:type="dxa"/>
            <w:tcBorders>
              <w:top w:val="nil"/>
              <w:left w:val="nil"/>
              <w:bottom w:val="nil"/>
              <w:right w:val="single" w:color="FFFFFF" w:sz="12" w:space="0"/>
            </w:tcBorders>
            <w:shd w:val="clear" w:color="000000" w:fill="2350A0"/>
            <w:noWrap/>
            <w:vAlign w:val="center"/>
          </w:tcPr>
          <w:p>
            <w:pPr>
              <w:widowControl/>
              <w:spacing w:line="320" w:lineRule="exact"/>
              <w:jc w:val="center"/>
              <w:rPr>
                <w:rFonts w:ascii="Calibri" w:hAnsi="Calibri"/>
                <w:b/>
                <w:bCs/>
                <w:color w:val="FFFFFF"/>
                <w:kern w:val="0"/>
                <w:sz w:val="20"/>
                <w:szCs w:val="20"/>
              </w:rPr>
            </w:pPr>
            <w:r>
              <w:rPr>
                <w:rFonts w:hint="eastAsia" w:ascii="Calibri" w:hAnsi="Calibri"/>
                <w:b/>
                <w:bCs/>
                <w:color w:val="FFFFFF"/>
                <w:sz w:val="20"/>
                <w:szCs w:val="20"/>
              </w:rPr>
              <w:t>职业类名称</w:t>
            </w:r>
          </w:p>
        </w:tc>
        <w:tc>
          <w:tcPr>
            <w:tcW w:w="1972" w:type="dxa"/>
            <w:tcBorders>
              <w:top w:val="nil"/>
              <w:left w:val="nil"/>
              <w:bottom w:val="nil"/>
              <w:right w:val="single" w:color="FFFFFF" w:sz="12" w:space="0"/>
            </w:tcBorders>
            <w:shd w:val="clear" w:color="000000" w:fill="2350A0"/>
            <w:noWrap/>
            <w:vAlign w:val="center"/>
          </w:tcPr>
          <w:p>
            <w:pPr>
              <w:spacing w:line="320" w:lineRule="exact"/>
              <w:jc w:val="center"/>
              <w:rPr>
                <w:rFonts w:hint="eastAsia" w:ascii="Calibri" w:hAnsi="Calibri"/>
                <w:b/>
                <w:bCs/>
                <w:color w:val="FFFFFF"/>
                <w:sz w:val="20"/>
                <w:szCs w:val="20"/>
              </w:rPr>
            </w:pPr>
            <w:r>
              <w:rPr>
                <w:rFonts w:hint="eastAsia" w:ascii="Calibri" w:hAnsi="Calibri"/>
                <w:b/>
                <w:bCs/>
                <w:color w:val="FFFFFF"/>
                <w:sz w:val="20"/>
                <w:szCs w:val="20"/>
              </w:rPr>
              <w:t>2017届（%）</w:t>
            </w:r>
          </w:p>
        </w:tc>
        <w:tc>
          <w:tcPr>
            <w:tcW w:w="1972" w:type="dxa"/>
            <w:tcBorders>
              <w:top w:val="nil"/>
              <w:left w:val="nil"/>
              <w:bottom w:val="nil"/>
              <w:right w:val="single" w:color="FFFFFF" w:sz="12" w:space="0"/>
            </w:tcBorders>
            <w:shd w:val="clear" w:color="000000" w:fill="2350A0"/>
            <w:noWrap/>
            <w:vAlign w:val="center"/>
          </w:tcPr>
          <w:p>
            <w:pPr>
              <w:spacing w:line="320" w:lineRule="exact"/>
              <w:jc w:val="center"/>
              <w:rPr>
                <w:rFonts w:hint="eastAsia" w:ascii="Calibri" w:hAnsi="Calibri"/>
                <w:b/>
                <w:bCs/>
                <w:color w:val="FFFFFF"/>
                <w:sz w:val="20"/>
                <w:szCs w:val="20"/>
              </w:rPr>
            </w:pPr>
            <w:r>
              <w:rPr>
                <w:rFonts w:hint="eastAsia" w:ascii="Calibri" w:hAnsi="Calibri"/>
                <w:b/>
                <w:bCs/>
                <w:color w:val="FFFFFF"/>
                <w:sz w:val="20"/>
                <w:szCs w:val="20"/>
              </w:rPr>
              <w:t>2018届（%）</w:t>
            </w:r>
          </w:p>
        </w:tc>
        <w:tc>
          <w:tcPr>
            <w:tcW w:w="1973" w:type="dxa"/>
            <w:tcBorders>
              <w:top w:val="nil"/>
              <w:left w:val="nil"/>
              <w:bottom w:val="nil"/>
              <w:right w:val="single" w:color="FFFFFF" w:sz="12" w:space="0"/>
            </w:tcBorders>
            <w:shd w:val="clear" w:color="000000" w:fill="2350A0"/>
            <w:noWrap/>
            <w:vAlign w:val="center"/>
          </w:tcPr>
          <w:p>
            <w:pPr>
              <w:spacing w:line="320" w:lineRule="exact"/>
              <w:jc w:val="center"/>
              <w:rPr>
                <w:rFonts w:hint="eastAsia" w:ascii="Calibri" w:hAnsi="Calibri"/>
                <w:b/>
                <w:bCs/>
                <w:color w:val="FFFFFF"/>
                <w:sz w:val="20"/>
                <w:szCs w:val="20"/>
              </w:rPr>
            </w:pPr>
            <w:r>
              <w:rPr>
                <w:rFonts w:hint="eastAsia" w:ascii="Calibri" w:hAnsi="Calibri"/>
                <w:b/>
                <w:bCs/>
                <w:color w:val="FFFFFF"/>
                <w:sz w:val="20"/>
                <w:szCs w:val="20"/>
              </w:rPr>
              <w:t>2019届（%）</w:t>
            </w:r>
          </w:p>
        </w:tc>
      </w:tr>
      <w:tr>
        <w:tblPrEx>
          <w:tblCellMar>
            <w:top w:w="0" w:type="dxa"/>
            <w:left w:w="108" w:type="dxa"/>
            <w:bottom w:w="0" w:type="dxa"/>
            <w:right w:w="108" w:type="dxa"/>
          </w:tblCellMar>
        </w:tblPrEx>
        <w:trPr>
          <w:trHeight w:val="270" w:hRule="atLeast"/>
        </w:trPr>
        <w:tc>
          <w:tcPr>
            <w:tcW w:w="2973" w:type="dxa"/>
            <w:tcBorders>
              <w:top w:val="nil"/>
              <w:left w:val="nil"/>
              <w:bottom w:val="nil"/>
              <w:right w:val="nil"/>
            </w:tcBorders>
            <w:shd w:val="clear" w:color="000000" w:fill="FFFFFF"/>
            <w:noWrap/>
            <w:vAlign w:val="center"/>
          </w:tcPr>
          <w:p>
            <w:pPr>
              <w:spacing w:line="320" w:lineRule="exact"/>
              <w:jc w:val="left"/>
              <w:rPr>
                <w:rFonts w:hint="eastAsia" w:ascii="Calibri" w:hAnsi="Calibri"/>
                <w:color w:val="000000"/>
                <w:sz w:val="20"/>
                <w:szCs w:val="20"/>
              </w:rPr>
            </w:pPr>
            <w:r>
              <w:rPr>
                <w:rFonts w:hint="eastAsia" w:ascii="Calibri" w:hAnsi="Calibri"/>
                <w:color w:val="000000"/>
                <w:sz w:val="20"/>
                <w:szCs w:val="20"/>
              </w:rPr>
              <w:t>销售</w:t>
            </w:r>
          </w:p>
        </w:tc>
        <w:tc>
          <w:tcPr>
            <w:tcW w:w="1972" w:type="dxa"/>
            <w:tcBorders>
              <w:top w:val="nil"/>
              <w:left w:val="nil"/>
              <w:bottom w:val="nil"/>
              <w:right w:val="nil"/>
            </w:tcBorders>
            <w:shd w:val="clear" w:color="000000" w:fill="FFFFFF"/>
            <w:noWrap/>
            <w:vAlign w:val="center"/>
          </w:tcPr>
          <w:p>
            <w:pPr>
              <w:spacing w:line="320" w:lineRule="exact"/>
              <w:jc w:val="center"/>
              <w:rPr>
                <w:rFonts w:hint="eastAsia" w:ascii="Calibri" w:hAnsi="Calibri"/>
                <w:color w:val="000000"/>
                <w:sz w:val="20"/>
                <w:szCs w:val="20"/>
              </w:rPr>
            </w:pPr>
            <w:r>
              <w:rPr>
                <w:rFonts w:hint="eastAsia" w:ascii="Calibri" w:hAnsi="Calibri"/>
                <w:color w:val="000000"/>
                <w:sz w:val="20"/>
                <w:szCs w:val="20"/>
              </w:rPr>
              <w:t>15.6</w:t>
            </w:r>
          </w:p>
        </w:tc>
        <w:tc>
          <w:tcPr>
            <w:tcW w:w="1972" w:type="dxa"/>
            <w:tcBorders>
              <w:top w:val="nil"/>
              <w:left w:val="nil"/>
              <w:bottom w:val="nil"/>
              <w:right w:val="nil"/>
            </w:tcBorders>
            <w:shd w:val="clear" w:color="000000" w:fill="FFFFFF"/>
            <w:noWrap/>
            <w:vAlign w:val="center"/>
          </w:tcPr>
          <w:p>
            <w:pPr>
              <w:spacing w:line="320" w:lineRule="exact"/>
              <w:jc w:val="center"/>
              <w:rPr>
                <w:rFonts w:hint="eastAsia" w:ascii="Calibri" w:hAnsi="Calibri"/>
                <w:color w:val="000000"/>
                <w:sz w:val="20"/>
                <w:szCs w:val="20"/>
              </w:rPr>
            </w:pPr>
            <w:r>
              <w:rPr>
                <w:rFonts w:hint="eastAsia" w:ascii="Calibri" w:hAnsi="Calibri"/>
                <w:color w:val="000000"/>
                <w:sz w:val="20"/>
                <w:szCs w:val="20"/>
              </w:rPr>
              <w:t>11.1</w:t>
            </w:r>
          </w:p>
        </w:tc>
        <w:tc>
          <w:tcPr>
            <w:tcW w:w="1973" w:type="dxa"/>
            <w:tcBorders>
              <w:top w:val="nil"/>
              <w:left w:val="nil"/>
              <w:bottom w:val="nil"/>
              <w:right w:val="nil"/>
            </w:tcBorders>
            <w:shd w:val="clear" w:color="000000" w:fill="FFFFFF"/>
            <w:noWrap/>
            <w:vAlign w:val="center"/>
          </w:tcPr>
          <w:p>
            <w:pPr>
              <w:spacing w:line="320" w:lineRule="exact"/>
              <w:jc w:val="center"/>
              <w:rPr>
                <w:rFonts w:hint="eastAsia" w:ascii="Calibri" w:hAnsi="Calibri"/>
                <w:color w:val="000000"/>
                <w:sz w:val="20"/>
                <w:szCs w:val="20"/>
              </w:rPr>
            </w:pPr>
            <w:r>
              <w:rPr>
                <w:rFonts w:hint="eastAsia" w:ascii="Calibri" w:hAnsi="Calibri"/>
                <w:color w:val="000000"/>
                <w:sz w:val="20"/>
                <w:szCs w:val="20"/>
              </w:rPr>
              <w:t>19.0</w:t>
            </w:r>
          </w:p>
        </w:tc>
      </w:tr>
      <w:tr>
        <w:tblPrEx>
          <w:tblCellMar>
            <w:top w:w="0" w:type="dxa"/>
            <w:left w:w="108" w:type="dxa"/>
            <w:bottom w:w="0" w:type="dxa"/>
            <w:right w:w="108" w:type="dxa"/>
          </w:tblCellMar>
        </w:tblPrEx>
        <w:trPr>
          <w:trHeight w:val="270" w:hRule="atLeast"/>
        </w:trPr>
        <w:tc>
          <w:tcPr>
            <w:tcW w:w="2973" w:type="dxa"/>
            <w:tcBorders>
              <w:top w:val="nil"/>
              <w:left w:val="nil"/>
              <w:bottom w:val="nil"/>
              <w:right w:val="nil"/>
            </w:tcBorders>
            <w:shd w:val="clear" w:color="000000" w:fill="BEEDF8"/>
            <w:noWrap/>
            <w:vAlign w:val="center"/>
          </w:tcPr>
          <w:p>
            <w:pPr>
              <w:spacing w:line="320" w:lineRule="exact"/>
              <w:jc w:val="left"/>
              <w:rPr>
                <w:rFonts w:hint="eastAsia" w:ascii="Calibri" w:hAnsi="Calibri"/>
                <w:color w:val="000000"/>
                <w:sz w:val="20"/>
                <w:szCs w:val="20"/>
              </w:rPr>
            </w:pPr>
            <w:r>
              <w:rPr>
                <w:rFonts w:hint="eastAsia" w:ascii="Calibri" w:hAnsi="Calibri"/>
                <w:color w:val="000000"/>
                <w:sz w:val="20"/>
                <w:szCs w:val="20"/>
              </w:rPr>
              <w:t>餐饮/娱乐</w:t>
            </w:r>
          </w:p>
        </w:tc>
        <w:tc>
          <w:tcPr>
            <w:tcW w:w="1972" w:type="dxa"/>
            <w:tcBorders>
              <w:top w:val="nil"/>
              <w:left w:val="nil"/>
              <w:bottom w:val="nil"/>
              <w:right w:val="nil"/>
            </w:tcBorders>
            <w:shd w:val="clear" w:color="000000" w:fill="BEEDF8"/>
            <w:noWrap/>
            <w:vAlign w:val="center"/>
          </w:tcPr>
          <w:p>
            <w:pPr>
              <w:spacing w:line="320" w:lineRule="exact"/>
              <w:jc w:val="center"/>
              <w:rPr>
                <w:rFonts w:hint="eastAsia" w:ascii="Calibri" w:hAnsi="Calibri"/>
                <w:color w:val="000000"/>
                <w:sz w:val="20"/>
                <w:szCs w:val="20"/>
              </w:rPr>
            </w:pPr>
            <w:r>
              <w:rPr>
                <w:rFonts w:hint="eastAsia" w:ascii="Calibri" w:hAnsi="Calibri"/>
                <w:color w:val="000000"/>
                <w:sz w:val="20"/>
                <w:szCs w:val="20"/>
              </w:rPr>
              <w:t>4.4</w:t>
            </w:r>
          </w:p>
        </w:tc>
        <w:tc>
          <w:tcPr>
            <w:tcW w:w="1972" w:type="dxa"/>
            <w:tcBorders>
              <w:top w:val="nil"/>
              <w:left w:val="nil"/>
              <w:bottom w:val="nil"/>
              <w:right w:val="nil"/>
            </w:tcBorders>
            <w:shd w:val="clear" w:color="000000" w:fill="BEEDF8"/>
            <w:noWrap/>
            <w:vAlign w:val="center"/>
          </w:tcPr>
          <w:p>
            <w:pPr>
              <w:spacing w:line="320" w:lineRule="exact"/>
              <w:jc w:val="center"/>
              <w:rPr>
                <w:rFonts w:hint="eastAsia" w:ascii="Calibri" w:hAnsi="Calibri"/>
                <w:color w:val="000000"/>
                <w:sz w:val="20"/>
                <w:szCs w:val="20"/>
              </w:rPr>
            </w:pPr>
            <w:r>
              <w:rPr>
                <w:rFonts w:hint="eastAsia" w:ascii="Calibri" w:hAnsi="Calibri"/>
                <w:color w:val="000000"/>
                <w:sz w:val="20"/>
                <w:szCs w:val="20"/>
              </w:rPr>
              <w:t>6.1</w:t>
            </w:r>
          </w:p>
        </w:tc>
        <w:tc>
          <w:tcPr>
            <w:tcW w:w="1973" w:type="dxa"/>
            <w:tcBorders>
              <w:top w:val="nil"/>
              <w:left w:val="nil"/>
              <w:bottom w:val="nil"/>
              <w:right w:val="nil"/>
            </w:tcBorders>
            <w:shd w:val="clear" w:color="000000" w:fill="BEEDF8"/>
            <w:noWrap/>
            <w:vAlign w:val="center"/>
          </w:tcPr>
          <w:p>
            <w:pPr>
              <w:spacing w:line="320" w:lineRule="exact"/>
              <w:jc w:val="center"/>
              <w:rPr>
                <w:rFonts w:hint="eastAsia" w:ascii="Calibri" w:hAnsi="Calibri"/>
                <w:color w:val="000000"/>
                <w:sz w:val="20"/>
                <w:szCs w:val="20"/>
              </w:rPr>
            </w:pPr>
            <w:r>
              <w:rPr>
                <w:rFonts w:hint="eastAsia" w:ascii="Calibri" w:hAnsi="Calibri"/>
                <w:color w:val="000000"/>
                <w:sz w:val="20"/>
                <w:szCs w:val="20"/>
              </w:rPr>
              <w:t>13.7</w:t>
            </w:r>
          </w:p>
        </w:tc>
      </w:tr>
      <w:tr>
        <w:tblPrEx>
          <w:tblCellMar>
            <w:top w:w="0" w:type="dxa"/>
            <w:left w:w="108" w:type="dxa"/>
            <w:bottom w:w="0" w:type="dxa"/>
            <w:right w:w="108" w:type="dxa"/>
          </w:tblCellMar>
        </w:tblPrEx>
        <w:trPr>
          <w:trHeight w:val="270" w:hRule="atLeast"/>
        </w:trPr>
        <w:tc>
          <w:tcPr>
            <w:tcW w:w="2973" w:type="dxa"/>
            <w:tcBorders>
              <w:top w:val="nil"/>
              <w:left w:val="nil"/>
              <w:bottom w:val="nil"/>
              <w:right w:val="nil"/>
            </w:tcBorders>
            <w:shd w:val="clear" w:color="000000" w:fill="FFFFFF"/>
            <w:noWrap/>
            <w:vAlign w:val="center"/>
          </w:tcPr>
          <w:p>
            <w:pPr>
              <w:spacing w:line="320" w:lineRule="exact"/>
              <w:jc w:val="left"/>
              <w:rPr>
                <w:rFonts w:hint="eastAsia" w:ascii="Calibri" w:hAnsi="Calibri"/>
                <w:color w:val="000000"/>
                <w:sz w:val="20"/>
                <w:szCs w:val="20"/>
              </w:rPr>
            </w:pPr>
            <w:r>
              <w:rPr>
                <w:rFonts w:hint="eastAsia" w:ascii="Calibri" w:hAnsi="Calibri"/>
                <w:color w:val="000000"/>
                <w:sz w:val="20"/>
                <w:szCs w:val="20"/>
              </w:rPr>
              <w:t>酒店/旅游/会展</w:t>
            </w:r>
          </w:p>
        </w:tc>
        <w:tc>
          <w:tcPr>
            <w:tcW w:w="1972" w:type="dxa"/>
            <w:tcBorders>
              <w:top w:val="nil"/>
              <w:left w:val="nil"/>
              <w:bottom w:val="nil"/>
              <w:right w:val="nil"/>
            </w:tcBorders>
            <w:shd w:val="clear" w:color="000000" w:fill="FFFFFF"/>
            <w:noWrap/>
            <w:vAlign w:val="center"/>
          </w:tcPr>
          <w:p>
            <w:pPr>
              <w:spacing w:line="320" w:lineRule="exact"/>
              <w:jc w:val="center"/>
              <w:rPr>
                <w:rFonts w:hint="eastAsia" w:ascii="Calibri" w:hAnsi="Calibri"/>
                <w:color w:val="000000"/>
                <w:sz w:val="20"/>
                <w:szCs w:val="20"/>
              </w:rPr>
            </w:pPr>
            <w:r>
              <w:rPr>
                <w:rFonts w:hint="eastAsia" w:ascii="Calibri" w:hAnsi="Calibri"/>
                <w:color w:val="000000"/>
                <w:sz w:val="20"/>
                <w:szCs w:val="20"/>
              </w:rPr>
              <w:t>8.8</w:t>
            </w:r>
          </w:p>
        </w:tc>
        <w:tc>
          <w:tcPr>
            <w:tcW w:w="1972" w:type="dxa"/>
            <w:tcBorders>
              <w:top w:val="nil"/>
              <w:left w:val="nil"/>
              <w:bottom w:val="nil"/>
              <w:right w:val="nil"/>
            </w:tcBorders>
            <w:shd w:val="clear" w:color="000000" w:fill="FFFFFF"/>
            <w:noWrap/>
            <w:vAlign w:val="center"/>
          </w:tcPr>
          <w:p>
            <w:pPr>
              <w:spacing w:line="320" w:lineRule="exact"/>
              <w:jc w:val="center"/>
              <w:rPr>
                <w:rFonts w:hint="eastAsia" w:ascii="Calibri" w:hAnsi="Calibri"/>
                <w:color w:val="000000"/>
                <w:sz w:val="20"/>
                <w:szCs w:val="20"/>
              </w:rPr>
            </w:pPr>
            <w:r>
              <w:rPr>
                <w:rFonts w:hint="eastAsia" w:ascii="Calibri" w:hAnsi="Calibri"/>
                <w:color w:val="000000"/>
                <w:sz w:val="20"/>
                <w:szCs w:val="20"/>
              </w:rPr>
              <w:t>11.7</w:t>
            </w:r>
          </w:p>
        </w:tc>
        <w:tc>
          <w:tcPr>
            <w:tcW w:w="1973" w:type="dxa"/>
            <w:tcBorders>
              <w:top w:val="nil"/>
              <w:left w:val="nil"/>
              <w:bottom w:val="nil"/>
              <w:right w:val="nil"/>
            </w:tcBorders>
            <w:shd w:val="clear" w:color="000000" w:fill="FFFFFF"/>
            <w:noWrap/>
            <w:vAlign w:val="center"/>
          </w:tcPr>
          <w:p>
            <w:pPr>
              <w:spacing w:line="320" w:lineRule="exact"/>
              <w:jc w:val="center"/>
              <w:rPr>
                <w:rFonts w:hint="eastAsia" w:ascii="Calibri" w:hAnsi="Calibri"/>
                <w:color w:val="000000"/>
                <w:sz w:val="20"/>
                <w:szCs w:val="20"/>
              </w:rPr>
            </w:pPr>
            <w:r>
              <w:rPr>
                <w:rFonts w:hint="eastAsia" w:ascii="Calibri" w:hAnsi="Calibri"/>
                <w:color w:val="000000"/>
                <w:sz w:val="20"/>
                <w:szCs w:val="20"/>
              </w:rPr>
              <w:t>9.5</w:t>
            </w:r>
          </w:p>
        </w:tc>
      </w:tr>
      <w:tr>
        <w:tblPrEx>
          <w:tblCellMar>
            <w:top w:w="0" w:type="dxa"/>
            <w:left w:w="108" w:type="dxa"/>
            <w:bottom w:w="0" w:type="dxa"/>
            <w:right w:w="108" w:type="dxa"/>
          </w:tblCellMar>
        </w:tblPrEx>
        <w:trPr>
          <w:trHeight w:val="270" w:hRule="atLeast"/>
        </w:trPr>
        <w:tc>
          <w:tcPr>
            <w:tcW w:w="2973" w:type="dxa"/>
            <w:tcBorders>
              <w:top w:val="nil"/>
              <w:left w:val="nil"/>
              <w:bottom w:val="nil"/>
              <w:right w:val="nil"/>
            </w:tcBorders>
            <w:shd w:val="clear" w:color="000000" w:fill="BEEDF8"/>
            <w:noWrap/>
            <w:vAlign w:val="center"/>
          </w:tcPr>
          <w:p>
            <w:pPr>
              <w:spacing w:line="320" w:lineRule="exact"/>
              <w:jc w:val="left"/>
              <w:rPr>
                <w:rFonts w:hint="eastAsia" w:ascii="Calibri" w:hAnsi="Calibri"/>
                <w:color w:val="000000"/>
                <w:sz w:val="20"/>
                <w:szCs w:val="20"/>
              </w:rPr>
            </w:pPr>
            <w:r>
              <w:rPr>
                <w:rFonts w:hint="eastAsia" w:ascii="Calibri" w:hAnsi="Calibri"/>
                <w:color w:val="000000"/>
                <w:sz w:val="20"/>
                <w:szCs w:val="20"/>
              </w:rPr>
              <w:t>行政/后勤</w:t>
            </w:r>
          </w:p>
        </w:tc>
        <w:tc>
          <w:tcPr>
            <w:tcW w:w="1972" w:type="dxa"/>
            <w:tcBorders>
              <w:top w:val="nil"/>
              <w:left w:val="nil"/>
              <w:bottom w:val="nil"/>
              <w:right w:val="nil"/>
            </w:tcBorders>
            <w:shd w:val="clear" w:color="000000" w:fill="BEEDF8"/>
            <w:noWrap/>
            <w:vAlign w:val="center"/>
          </w:tcPr>
          <w:p>
            <w:pPr>
              <w:spacing w:line="320" w:lineRule="exact"/>
              <w:jc w:val="center"/>
              <w:rPr>
                <w:rFonts w:hint="eastAsia" w:ascii="Calibri" w:hAnsi="Calibri"/>
                <w:color w:val="000000"/>
                <w:sz w:val="20"/>
                <w:szCs w:val="20"/>
              </w:rPr>
            </w:pPr>
            <w:r>
              <w:rPr>
                <w:rFonts w:hint="eastAsia" w:ascii="Calibri" w:hAnsi="Calibri"/>
                <w:color w:val="000000"/>
                <w:sz w:val="20"/>
                <w:szCs w:val="20"/>
              </w:rPr>
              <w:t>10.2</w:t>
            </w:r>
          </w:p>
        </w:tc>
        <w:tc>
          <w:tcPr>
            <w:tcW w:w="1972" w:type="dxa"/>
            <w:tcBorders>
              <w:top w:val="nil"/>
              <w:left w:val="nil"/>
              <w:bottom w:val="nil"/>
              <w:right w:val="nil"/>
            </w:tcBorders>
            <w:shd w:val="clear" w:color="000000" w:fill="BEEDF8"/>
            <w:noWrap/>
            <w:vAlign w:val="center"/>
          </w:tcPr>
          <w:p>
            <w:pPr>
              <w:spacing w:line="320" w:lineRule="exact"/>
              <w:jc w:val="center"/>
              <w:rPr>
                <w:rFonts w:hint="eastAsia" w:ascii="Calibri" w:hAnsi="Calibri"/>
                <w:color w:val="000000"/>
                <w:sz w:val="20"/>
                <w:szCs w:val="20"/>
              </w:rPr>
            </w:pPr>
            <w:r>
              <w:rPr>
                <w:rFonts w:hint="eastAsia" w:ascii="Calibri" w:hAnsi="Calibri"/>
                <w:color w:val="000000"/>
                <w:sz w:val="20"/>
                <w:szCs w:val="20"/>
              </w:rPr>
              <w:t>12.8</w:t>
            </w:r>
          </w:p>
        </w:tc>
        <w:tc>
          <w:tcPr>
            <w:tcW w:w="1973" w:type="dxa"/>
            <w:tcBorders>
              <w:top w:val="nil"/>
              <w:left w:val="nil"/>
              <w:bottom w:val="nil"/>
              <w:right w:val="nil"/>
            </w:tcBorders>
            <w:shd w:val="clear" w:color="000000" w:fill="BEEDF8"/>
            <w:noWrap/>
            <w:vAlign w:val="center"/>
          </w:tcPr>
          <w:p>
            <w:pPr>
              <w:spacing w:line="320" w:lineRule="exact"/>
              <w:jc w:val="center"/>
              <w:rPr>
                <w:rFonts w:hint="eastAsia" w:ascii="Calibri" w:hAnsi="Calibri"/>
                <w:color w:val="000000"/>
                <w:sz w:val="20"/>
                <w:szCs w:val="20"/>
              </w:rPr>
            </w:pPr>
            <w:r>
              <w:rPr>
                <w:rFonts w:hint="eastAsia" w:ascii="Calibri" w:hAnsi="Calibri"/>
                <w:color w:val="000000"/>
                <w:sz w:val="20"/>
                <w:szCs w:val="20"/>
              </w:rPr>
              <w:t>6.9</w:t>
            </w:r>
          </w:p>
        </w:tc>
      </w:tr>
      <w:tr>
        <w:tblPrEx>
          <w:tblCellMar>
            <w:top w:w="0" w:type="dxa"/>
            <w:left w:w="108" w:type="dxa"/>
            <w:bottom w:w="0" w:type="dxa"/>
            <w:right w:w="108" w:type="dxa"/>
          </w:tblCellMar>
        </w:tblPrEx>
        <w:trPr>
          <w:trHeight w:val="270" w:hRule="atLeast"/>
        </w:trPr>
        <w:tc>
          <w:tcPr>
            <w:tcW w:w="2973" w:type="dxa"/>
            <w:tcBorders>
              <w:top w:val="nil"/>
              <w:left w:val="nil"/>
              <w:bottom w:val="nil"/>
              <w:right w:val="nil"/>
            </w:tcBorders>
            <w:shd w:val="clear" w:color="000000" w:fill="FFFFFF"/>
            <w:noWrap/>
            <w:vAlign w:val="center"/>
          </w:tcPr>
          <w:p>
            <w:pPr>
              <w:spacing w:line="320" w:lineRule="exact"/>
              <w:jc w:val="left"/>
              <w:rPr>
                <w:rFonts w:hint="eastAsia" w:ascii="Calibri" w:hAnsi="Calibri"/>
                <w:color w:val="000000"/>
                <w:sz w:val="20"/>
                <w:szCs w:val="20"/>
              </w:rPr>
            </w:pPr>
            <w:r>
              <w:rPr>
                <w:rFonts w:hint="eastAsia" w:ascii="Calibri" w:hAnsi="Calibri"/>
                <w:color w:val="000000"/>
                <w:sz w:val="20"/>
                <w:szCs w:val="20"/>
              </w:rPr>
              <w:t>互联网开发及应用</w:t>
            </w:r>
          </w:p>
        </w:tc>
        <w:tc>
          <w:tcPr>
            <w:tcW w:w="1972" w:type="dxa"/>
            <w:tcBorders>
              <w:top w:val="nil"/>
              <w:left w:val="nil"/>
              <w:bottom w:val="nil"/>
              <w:right w:val="nil"/>
            </w:tcBorders>
            <w:shd w:val="clear" w:color="000000" w:fill="FFFFFF"/>
            <w:noWrap/>
            <w:vAlign w:val="center"/>
          </w:tcPr>
          <w:p>
            <w:pPr>
              <w:spacing w:line="320" w:lineRule="exact"/>
              <w:jc w:val="center"/>
              <w:rPr>
                <w:rFonts w:hint="eastAsia" w:ascii="Calibri" w:hAnsi="Calibri"/>
                <w:color w:val="000000"/>
                <w:sz w:val="20"/>
                <w:szCs w:val="20"/>
              </w:rPr>
            </w:pPr>
            <w:r>
              <w:rPr>
                <w:rFonts w:hint="eastAsia" w:ascii="Calibri" w:hAnsi="Calibri"/>
                <w:color w:val="000000"/>
                <w:sz w:val="20"/>
                <w:szCs w:val="20"/>
              </w:rPr>
              <w:t>6.1</w:t>
            </w:r>
          </w:p>
        </w:tc>
        <w:tc>
          <w:tcPr>
            <w:tcW w:w="1972" w:type="dxa"/>
            <w:tcBorders>
              <w:top w:val="nil"/>
              <w:left w:val="nil"/>
              <w:bottom w:val="nil"/>
              <w:right w:val="nil"/>
            </w:tcBorders>
            <w:shd w:val="clear" w:color="000000" w:fill="FFFFFF"/>
            <w:noWrap/>
            <w:vAlign w:val="center"/>
          </w:tcPr>
          <w:p>
            <w:pPr>
              <w:spacing w:line="320" w:lineRule="exact"/>
              <w:jc w:val="center"/>
              <w:rPr>
                <w:rFonts w:hint="eastAsia" w:ascii="Calibri" w:hAnsi="Calibri"/>
                <w:color w:val="000000"/>
                <w:sz w:val="20"/>
                <w:szCs w:val="20"/>
              </w:rPr>
            </w:pPr>
            <w:r>
              <w:rPr>
                <w:rFonts w:hint="eastAsia" w:ascii="Calibri" w:hAnsi="Calibri"/>
                <w:color w:val="000000"/>
                <w:sz w:val="20"/>
                <w:szCs w:val="20"/>
              </w:rPr>
              <w:t>7.9</w:t>
            </w:r>
          </w:p>
        </w:tc>
        <w:tc>
          <w:tcPr>
            <w:tcW w:w="1973" w:type="dxa"/>
            <w:tcBorders>
              <w:top w:val="nil"/>
              <w:left w:val="nil"/>
              <w:bottom w:val="nil"/>
              <w:right w:val="nil"/>
            </w:tcBorders>
            <w:shd w:val="clear" w:color="000000" w:fill="FFFFFF"/>
            <w:noWrap/>
            <w:vAlign w:val="center"/>
          </w:tcPr>
          <w:p>
            <w:pPr>
              <w:spacing w:line="320" w:lineRule="exact"/>
              <w:jc w:val="center"/>
              <w:rPr>
                <w:rFonts w:hint="eastAsia" w:ascii="Calibri" w:hAnsi="Calibri"/>
                <w:color w:val="000000"/>
                <w:sz w:val="20"/>
                <w:szCs w:val="20"/>
              </w:rPr>
            </w:pPr>
            <w:r>
              <w:rPr>
                <w:rFonts w:hint="eastAsia" w:ascii="Calibri" w:hAnsi="Calibri"/>
                <w:color w:val="000000"/>
                <w:sz w:val="20"/>
                <w:szCs w:val="20"/>
              </w:rPr>
              <w:t>6.9</w:t>
            </w:r>
          </w:p>
        </w:tc>
      </w:tr>
      <w:tr>
        <w:tblPrEx>
          <w:tblCellMar>
            <w:top w:w="0" w:type="dxa"/>
            <w:left w:w="108" w:type="dxa"/>
            <w:bottom w:w="0" w:type="dxa"/>
            <w:right w:w="108" w:type="dxa"/>
          </w:tblCellMar>
        </w:tblPrEx>
        <w:trPr>
          <w:trHeight w:val="270" w:hRule="atLeast"/>
        </w:trPr>
        <w:tc>
          <w:tcPr>
            <w:tcW w:w="2973" w:type="dxa"/>
            <w:tcBorders>
              <w:top w:val="nil"/>
              <w:left w:val="nil"/>
              <w:bottom w:val="nil"/>
              <w:right w:val="nil"/>
            </w:tcBorders>
            <w:shd w:val="clear" w:color="000000" w:fill="BEEDF8"/>
            <w:noWrap/>
            <w:vAlign w:val="center"/>
          </w:tcPr>
          <w:p>
            <w:pPr>
              <w:spacing w:line="320" w:lineRule="exact"/>
              <w:jc w:val="left"/>
              <w:rPr>
                <w:rFonts w:hint="eastAsia" w:ascii="Calibri" w:hAnsi="Calibri"/>
                <w:color w:val="000000"/>
                <w:sz w:val="20"/>
                <w:szCs w:val="20"/>
              </w:rPr>
            </w:pPr>
            <w:r>
              <w:rPr>
                <w:rFonts w:hint="eastAsia" w:ascii="Calibri" w:hAnsi="Calibri"/>
                <w:color w:val="000000"/>
                <w:sz w:val="20"/>
                <w:szCs w:val="20"/>
              </w:rPr>
              <w:t>中小学教育</w:t>
            </w:r>
          </w:p>
        </w:tc>
        <w:tc>
          <w:tcPr>
            <w:tcW w:w="1972" w:type="dxa"/>
            <w:tcBorders>
              <w:top w:val="nil"/>
              <w:left w:val="nil"/>
              <w:bottom w:val="nil"/>
              <w:right w:val="nil"/>
            </w:tcBorders>
            <w:shd w:val="clear" w:color="000000" w:fill="BEEDF8"/>
            <w:noWrap/>
            <w:vAlign w:val="center"/>
          </w:tcPr>
          <w:p>
            <w:pPr>
              <w:spacing w:line="320" w:lineRule="exact"/>
              <w:jc w:val="center"/>
              <w:rPr>
                <w:rFonts w:hint="eastAsia" w:ascii="Calibri" w:hAnsi="Calibri"/>
                <w:color w:val="000000"/>
                <w:sz w:val="20"/>
                <w:szCs w:val="20"/>
              </w:rPr>
            </w:pPr>
            <w:r>
              <w:rPr>
                <w:rFonts w:hint="eastAsia" w:ascii="Calibri" w:hAnsi="Calibri"/>
                <w:color w:val="000000"/>
                <w:sz w:val="20"/>
                <w:szCs w:val="20"/>
              </w:rPr>
              <w:t>11.2</w:t>
            </w:r>
          </w:p>
        </w:tc>
        <w:tc>
          <w:tcPr>
            <w:tcW w:w="1972" w:type="dxa"/>
            <w:tcBorders>
              <w:top w:val="nil"/>
              <w:left w:val="nil"/>
              <w:bottom w:val="nil"/>
              <w:right w:val="nil"/>
            </w:tcBorders>
            <w:shd w:val="clear" w:color="000000" w:fill="BEEDF8"/>
            <w:noWrap/>
            <w:vAlign w:val="center"/>
          </w:tcPr>
          <w:p>
            <w:pPr>
              <w:spacing w:line="320" w:lineRule="exact"/>
              <w:jc w:val="center"/>
              <w:rPr>
                <w:rFonts w:hint="eastAsia" w:ascii="Calibri" w:hAnsi="Calibri"/>
                <w:color w:val="000000"/>
                <w:sz w:val="20"/>
                <w:szCs w:val="20"/>
              </w:rPr>
            </w:pPr>
            <w:r>
              <w:rPr>
                <w:rFonts w:hint="eastAsia" w:ascii="Calibri" w:hAnsi="Calibri"/>
                <w:color w:val="000000"/>
                <w:sz w:val="20"/>
                <w:szCs w:val="20"/>
              </w:rPr>
              <w:t>10.5</w:t>
            </w:r>
          </w:p>
        </w:tc>
        <w:tc>
          <w:tcPr>
            <w:tcW w:w="1973" w:type="dxa"/>
            <w:tcBorders>
              <w:top w:val="nil"/>
              <w:left w:val="nil"/>
              <w:bottom w:val="nil"/>
              <w:right w:val="nil"/>
            </w:tcBorders>
            <w:shd w:val="clear" w:color="000000" w:fill="BEEDF8"/>
            <w:noWrap/>
            <w:vAlign w:val="center"/>
          </w:tcPr>
          <w:p>
            <w:pPr>
              <w:spacing w:line="320" w:lineRule="exact"/>
              <w:jc w:val="center"/>
              <w:rPr>
                <w:rFonts w:hint="eastAsia" w:ascii="Calibri" w:hAnsi="Calibri"/>
                <w:color w:val="000000"/>
                <w:sz w:val="20"/>
                <w:szCs w:val="20"/>
              </w:rPr>
            </w:pPr>
            <w:r>
              <w:rPr>
                <w:rFonts w:hint="eastAsia" w:ascii="Calibri" w:hAnsi="Calibri"/>
                <w:color w:val="000000"/>
                <w:sz w:val="20"/>
                <w:szCs w:val="20"/>
              </w:rPr>
              <w:t>6.2</w:t>
            </w:r>
          </w:p>
        </w:tc>
      </w:tr>
      <w:tr>
        <w:tblPrEx>
          <w:tblCellMar>
            <w:top w:w="0" w:type="dxa"/>
            <w:left w:w="108" w:type="dxa"/>
            <w:bottom w:w="0" w:type="dxa"/>
            <w:right w:w="108" w:type="dxa"/>
          </w:tblCellMar>
        </w:tblPrEx>
        <w:trPr>
          <w:trHeight w:val="270" w:hRule="atLeast"/>
        </w:trPr>
        <w:tc>
          <w:tcPr>
            <w:tcW w:w="2973" w:type="dxa"/>
            <w:tcBorders>
              <w:top w:val="nil"/>
              <w:left w:val="nil"/>
              <w:bottom w:val="nil"/>
              <w:right w:val="nil"/>
            </w:tcBorders>
            <w:shd w:val="clear" w:color="000000" w:fill="FFFFFF"/>
            <w:noWrap/>
            <w:vAlign w:val="center"/>
          </w:tcPr>
          <w:p>
            <w:pPr>
              <w:spacing w:line="320" w:lineRule="exact"/>
              <w:jc w:val="left"/>
              <w:rPr>
                <w:rFonts w:hint="eastAsia" w:ascii="Calibri" w:hAnsi="Calibri"/>
                <w:color w:val="000000"/>
                <w:sz w:val="20"/>
                <w:szCs w:val="20"/>
              </w:rPr>
            </w:pPr>
            <w:r>
              <w:rPr>
                <w:rFonts w:hint="eastAsia" w:ascii="Calibri" w:hAnsi="Calibri"/>
                <w:color w:val="000000"/>
                <w:sz w:val="20"/>
                <w:szCs w:val="20"/>
              </w:rPr>
              <w:t>职业/教育培训</w:t>
            </w:r>
          </w:p>
        </w:tc>
        <w:tc>
          <w:tcPr>
            <w:tcW w:w="1972" w:type="dxa"/>
            <w:tcBorders>
              <w:top w:val="nil"/>
              <w:left w:val="nil"/>
              <w:bottom w:val="nil"/>
              <w:right w:val="nil"/>
            </w:tcBorders>
            <w:shd w:val="clear" w:color="000000" w:fill="FFFFFF"/>
            <w:noWrap/>
            <w:vAlign w:val="center"/>
          </w:tcPr>
          <w:p>
            <w:pPr>
              <w:spacing w:line="320" w:lineRule="exact"/>
              <w:jc w:val="center"/>
              <w:rPr>
                <w:rFonts w:hint="eastAsia" w:ascii="Calibri" w:hAnsi="Calibri"/>
                <w:color w:val="000000"/>
                <w:sz w:val="20"/>
                <w:szCs w:val="20"/>
              </w:rPr>
            </w:pPr>
            <w:r>
              <w:rPr>
                <w:rFonts w:hint="eastAsia" w:ascii="Calibri" w:hAnsi="Calibri"/>
                <w:color w:val="000000"/>
                <w:sz w:val="20"/>
                <w:szCs w:val="20"/>
              </w:rPr>
              <w:t>2.7</w:t>
            </w:r>
          </w:p>
        </w:tc>
        <w:tc>
          <w:tcPr>
            <w:tcW w:w="1972" w:type="dxa"/>
            <w:tcBorders>
              <w:top w:val="nil"/>
              <w:left w:val="nil"/>
              <w:bottom w:val="nil"/>
              <w:right w:val="nil"/>
            </w:tcBorders>
            <w:shd w:val="clear" w:color="000000" w:fill="FFFFFF"/>
            <w:noWrap/>
            <w:vAlign w:val="center"/>
          </w:tcPr>
          <w:p>
            <w:pPr>
              <w:spacing w:line="320" w:lineRule="exact"/>
              <w:jc w:val="center"/>
              <w:rPr>
                <w:rFonts w:hint="eastAsia" w:ascii="Calibri" w:hAnsi="Calibri"/>
                <w:color w:val="000000"/>
                <w:sz w:val="20"/>
                <w:szCs w:val="20"/>
              </w:rPr>
            </w:pPr>
            <w:r>
              <w:rPr>
                <w:rFonts w:hint="eastAsia" w:ascii="Calibri" w:hAnsi="Calibri"/>
                <w:color w:val="000000"/>
                <w:sz w:val="20"/>
                <w:szCs w:val="20"/>
              </w:rPr>
              <w:t>2.3</w:t>
            </w:r>
          </w:p>
        </w:tc>
        <w:tc>
          <w:tcPr>
            <w:tcW w:w="1973" w:type="dxa"/>
            <w:tcBorders>
              <w:top w:val="nil"/>
              <w:left w:val="nil"/>
              <w:bottom w:val="nil"/>
              <w:right w:val="nil"/>
            </w:tcBorders>
            <w:shd w:val="clear" w:color="000000" w:fill="FFFFFF"/>
            <w:noWrap/>
            <w:vAlign w:val="center"/>
          </w:tcPr>
          <w:p>
            <w:pPr>
              <w:spacing w:line="320" w:lineRule="exact"/>
              <w:jc w:val="center"/>
              <w:rPr>
                <w:rFonts w:hint="eastAsia" w:ascii="Calibri" w:hAnsi="Calibri"/>
                <w:color w:val="000000"/>
                <w:sz w:val="20"/>
                <w:szCs w:val="20"/>
              </w:rPr>
            </w:pPr>
            <w:r>
              <w:rPr>
                <w:rFonts w:hint="eastAsia" w:ascii="Calibri" w:hAnsi="Calibri"/>
                <w:color w:val="000000"/>
                <w:sz w:val="20"/>
                <w:szCs w:val="20"/>
              </w:rPr>
              <w:t>4.5</w:t>
            </w:r>
          </w:p>
        </w:tc>
      </w:tr>
      <w:tr>
        <w:tblPrEx>
          <w:tblCellMar>
            <w:top w:w="0" w:type="dxa"/>
            <w:left w:w="108" w:type="dxa"/>
            <w:bottom w:w="0" w:type="dxa"/>
            <w:right w:w="108" w:type="dxa"/>
          </w:tblCellMar>
        </w:tblPrEx>
        <w:trPr>
          <w:trHeight w:val="270" w:hRule="atLeast"/>
        </w:trPr>
        <w:tc>
          <w:tcPr>
            <w:tcW w:w="2973" w:type="dxa"/>
            <w:tcBorders>
              <w:top w:val="nil"/>
              <w:left w:val="nil"/>
              <w:bottom w:val="nil"/>
              <w:right w:val="nil"/>
            </w:tcBorders>
            <w:shd w:val="clear" w:color="000000" w:fill="BEEDF8"/>
            <w:noWrap/>
            <w:vAlign w:val="center"/>
          </w:tcPr>
          <w:p>
            <w:pPr>
              <w:spacing w:line="320" w:lineRule="exact"/>
              <w:jc w:val="left"/>
              <w:rPr>
                <w:rFonts w:hint="eastAsia" w:ascii="Calibri" w:hAnsi="Calibri"/>
                <w:color w:val="000000"/>
                <w:sz w:val="20"/>
                <w:szCs w:val="20"/>
              </w:rPr>
            </w:pPr>
            <w:r>
              <w:rPr>
                <w:rFonts w:hint="eastAsia" w:ascii="Calibri" w:hAnsi="Calibri"/>
                <w:color w:val="000000"/>
                <w:sz w:val="20"/>
                <w:szCs w:val="20"/>
              </w:rPr>
              <w:t>财务/审计/税务/统计</w:t>
            </w:r>
          </w:p>
        </w:tc>
        <w:tc>
          <w:tcPr>
            <w:tcW w:w="1972" w:type="dxa"/>
            <w:tcBorders>
              <w:top w:val="nil"/>
              <w:left w:val="nil"/>
              <w:bottom w:val="nil"/>
              <w:right w:val="nil"/>
            </w:tcBorders>
            <w:shd w:val="clear" w:color="000000" w:fill="BEEDF8"/>
            <w:noWrap/>
            <w:vAlign w:val="center"/>
          </w:tcPr>
          <w:p>
            <w:pPr>
              <w:spacing w:line="320" w:lineRule="exact"/>
              <w:jc w:val="center"/>
              <w:rPr>
                <w:rFonts w:hint="eastAsia" w:ascii="Calibri" w:hAnsi="Calibri"/>
                <w:color w:val="000000"/>
                <w:sz w:val="20"/>
                <w:szCs w:val="20"/>
              </w:rPr>
            </w:pPr>
            <w:r>
              <w:rPr>
                <w:rFonts w:hint="eastAsia" w:ascii="Calibri" w:hAnsi="Calibri"/>
                <w:color w:val="000000"/>
                <w:sz w:val="20"/>
                <w:szCs w:val="20"/>
              </w:rPr>
              <w:t>2.7</w:t>
            </w:r>
          </w:p>
        </w:tc>
        <w:tc>
          <w:tcPr>
            <w:tcW w:w="1972" w:type="dxa"/>
            <w:tcBorders>
              <w:top w:val="nil"/>
              <w:left w:val="nil"/>
              <w:bottom w:val="nil"/>
              <w:right w:val="nil"/>
            </w:tcBorders>
            <w:shd w:val="clear" w:color="000000" w:fill="BEEDF8"/>
            <w:noWrap/>
            <w:vAlign w:val="center"/>
          </w:tcPr>
          <w:p>
            <w:pPr>
              <w:spacing w:line="320" w:lineRule="exact"/>
              <w:jc w:val="center"/>
              <w:rPr>
                <w:rFonts w:hint="eastAsia" w:ascii="Calibri" w:hAnsi="Calibri"/>
                <w:color w:val="000000"/>
                <w:sz w:val="20"/>
                <w:szCs w:val="20"/>
              </w:rPr>
            </w:pPr>
            <w:r>
              <w:rPr>
                <w:rFonts w:hint="eastAsia" w:ascii="Calibri" w:hAnsi="Calibri"/>
                <w:color w:val="000000"/>
                <w:sz w:val="20"/>
                <w:szCs w:val="20"/>
              </w:rPr>
              <w:t>2.3</w:t>
            </w:r>
          </w:p>
        </w:tc>
        <w:tc>
          <w:tcPr>
            <w:tcW w:w="1973" w:type="dxa"/>
            <w:tcBorders>
              <w:top w:val="nil"/>
              <w:left w:val="nil"/>
              <w:bottom w:val="nil"/>
              <w:right w:val="nil"/>
            </w:tcBorders>
            <w:shd w:val="clear" w:color="000000" w:fill="BEEDF8"/>
            <w:noWrap/>
            <w:vAlign w:val="center"/>
          </w:tcPr>
          <w:p>
            <w:pPr>
              <w:spacing w:line="320" w:lineRule="exact"/>
              <w:jc w:val="center"/>
              <w:rPr>
                <w:rFonts w:hint="eastAsia" w:ascii="Calibri" w:hAnsi="Calibri"/>
                <w:color w:val="000000"/>
                <w:sz w:val="20"/>
                <w:szCs w:val="20"/>
              </w:rPr>
            </w:pPr>
            <w:r>
              <w:rPr>
                <w:rFonts w:hint="eastAsia" w:ascii="Calibri" w:hAnsi="Calibri"/>
                <w:color w:val="000000"/>
                <w:sz w:val="20"/>
                <w:szCs w:val="20"/>
              </w:rPr>
              <w:t>4.3</w:t>
            </w:r>
          </w:p>
        </w:tc>
      </w:tr>
      <w:tr>
        <w:tblPrEx>
          <w:tblCellMar>
            <w:top w:w="0" w:type="dxa"/>
            <w:left w:w="108" w:type="dxa"/>
            <w:bottom w:w="0" w:type="dxa"/>
            <w:right w:w="108" w:type="dxa"/>
          </w:tblCellMar>
        </w:tblPrEx>
        <w:trPr>
          <w:trHeight w:val="270" w:hRule="atLeast"/>
        </w:trPr>
        <w:tc>
          <w:tcPr>
            <w:tcW w:w="2973" w:type="dxa"/>
            <w:tcBorders>
              <w:top w:val="nil"/>
              <w:left w:val="nil"/>
              <w:bottom w:val="nil"/>
              <w:right w:val="nil"/>
            </w:tcBorders>
            <w:shd w:val="clear" w:color="000000" w:fill="FFFFFF"/>
            <w:noWrap/>
            <w:vAlign w:val="center"/>
          </w:tcPr>
          <w:p>
            <w:pPr>
              <w:spacing w:line="320" w:lineRule="exact"/>
              <w:jc w:val="left"/>
              <w:rPr>
                <w:rFonts w:hint="eastAsia" w:ascii="Calibri" w:hAnsi="Calibri"/>
                <w:color w:val="000000"/>
                <w:sz w:val="20"/>
                <w:szCs w:val="20"/>
              </w:rPr>
            </w:pPr>
            <w:r>
              <w:rPr>
                <w:rFonts w:hint="eastAsia" w:ascii="Calibri" w:hAnsi="Calibri"/>
                <w:color w:val="000000"/>
                <w:sz w:val="20"/>
                <w:szCs w:val="20"/>
              </w:rPr>
              <w:t>幼儿与学前教育</w:t>
            </w:r>
          </w:p>
        </w:tc>
        <w:tc>
          <w:tcPr>
            <w:tcW w:w="1972" w:type="dxa"/>
            <w:tcBorders>
              <w:top w:val="nil"/>
              <w:left w:val="nil"/>
              <w:bottom w:val="nil"/>
              <w:right w:val="nil"/>
            </w:tcBorders>
            <w:shd w:val="clear" w:color="000000" w:fill="FFFFFF"/>
            <w:noWrap/>
            <w:vAlign w:val="center"/>
          </w:tcPr>
          <w:p>
            <w:pPr>
              <w:spacing w:line="320" w:lineRule="exact"/>
              <w:jc w:val="center"/>
              <w:rPr>
                <w:rFonts w:hint="eastAsia" w:ascii="Calibri" w:hAnsi="Calibri"/>
                <w:color w:val="000000"/>
                <w:sz w:val="20"/>
                <w:szCs w:val="20"/>
              </w:rPr>
            </w:pPr>
            <w:r>
              <w:rPr>
                <w:rFonts w:hint="eastAsia" w:ascii="Calibri" w:hAnsi="Calibri"/>
                <w:color w:val="000000"/>
                <w:sz w:val="20"/>
                <w:szCs w:val="20"/>
              </w:rPr>
              <w:t>11.2</w:t>
            </w:r>
          </w:p>
        </w:tc>
        <w:tc>
          <w:tcPr>
            <w:tcW w:w="1972" w:type="dxa"/>
            <w:tcBorders>
              <w:top w:val="nil"/>
              <w:left w:val="nil"/>
              <w:bottom w:val="nil"/>
              <w:right w:val="nil"/>
            </w:tcBorders>
            <w:shd w:val="clear" w:color="000000" w:fill="FFFFFF"/>
            <w:noWrap/>
            <w:vAlign w:val="center"/>
          </w:tcPr>
          <w:p>
            <w:pPr>
              <w:spacing w:line="320" w:lineRule="exact"/>
              <w:jc w:val="center"/>
              <w:rPr>
                <w:rFonts w:hint="eastAsia" w:ascii="Calibri" w:hAnsi="Calibri"/>
                <w:color w:val="000000"/>
                <w:sz w:val="20"/>
                <w:szCs w:val="20"/>
              </w:rPr>
            </w:pPr>
            <w:r>
              <w:rPr>
                <w:rFonts w:hint="eastAsia" w:ascii="Calibri" w:hAnsi="Calibri"/>
                <w:color w:val="000000"/>
                <w:sz w:val="20"/>
                <w:szCs w:val="20"/>
              </w:rPr>
              <w:t>15.5</w:t>
            </w:r>
          </w:p>
        </w:tc>
        <w:tc>
          <w:tcPr>
            <w:tcW w:w="1973" w:type="dxa"/>
            <w:tcBorders>
              <w:top w:val="nil"/>
              <w:left w:val="nil"/>
              <w:bottom w:val="nil"/>
              <w:right w:val="nil"/>
            </w:tcBorders>
            <w:shd w:val="clear" w:color="000000" w:fill="FFFFFF"/>
            <w:noWrap/>
            <w:vAlign w:val="center"/>
          </w:tcPr>
          <w:p>
            <w:pPr>
              <w:spacing w:line="320" w:lineRule="exact"/>
              <w:jc w:val="center"/>
              <w:rPr>
                <w:rFonts w:hint="eastAsia" w:ascii="Calibri" w:hAnsi="Calibri"/>
                <w:color w:val="000000"/>
                <w:sz w:val="20"/>
                <w:szCs w:val="20"/>
              </w:rPr>
            </w:pPr>
            <w:r>
              <w:rPr>
                <w:rFonts w:hint="eastAsia" w:ascii="Calibri" w:hAnsi="Calibri"/>
                <w:color w:val="000000"/>
                <w:sz w:val="20"/>
                <w:szCs w:val="20"/>
              </w:rPr>
              <w:t>3.8</w:t>
            </w:r>
          </w:p>
        </w:tc>
      </w:tr>
      <w:tr>
        <w:tblPrEx>
          <w:tblCellMar>
            <w:top w:w="0" w:type="dxa"/>
            <w:left w:w="108" w:type="dxa"/>
            <w:bottom w:w="0" w:type="dxa"/>
            <w:right w:w="108" w:type="dxa"/>
          </w:tblCellMar>
        </w:tblPrEx>
        <w:trPr>
          <w:trHeight w:val="285" w:hRule="atLeast"/>
        </w:trPr>
        <w:tc>
          <w:tcPr>
            <w:tcW w:w="2973" w:type="dxa"/>
            <w:tcBorders>
              <w:top w:val="nil"/>
              <w:left w:val="nil"/>
              <w:bottom w:val="single" w:color="57B8E7" w:sz="12" w:space="0"/>
              <w:right w:val="nil"/>
            </w:tcBorders>
            <w:shd w:val="clear" w:color="000000" w:fill="BEEDF8"/>
            <w:noWrap/>
            <w:vAlign w:val="center"/>
          </w:tcPr>
          <w:p>
            <w:pPr>
              <w:spacing w:line="320" w:lineRule="exact"/>
              <w:jc w:val="left"/>
              <w:rPr>
                <w:rFonts w:hint="eastAsia" w:ascii="Calibri" w:hAnsi="Calibri"/>
                <w:color w:val="000000"/>
                <w:sz w:val="20"/>
                <w:szCs w:val="20"/>
              </w:rPr>
            </w:pPr>
            <w:r>
              <w:rPr>
                <w:rFonts w:hint="eastAsia" w:ascii="Calibri" w:hAnsi="Calibri"/>
                <w:color w:val="000000"/>
                <w:sz w:val="20"/>
                <w:szCs w:val="20"/>
              </w:rPr>
              <w:t>翻译</w:t>
            </w:r>
          </w:p>
        </w:tc>
        <w:tc>
          <w:tcPr>
            <w:tcW w:w="1972" w:type="dxa"/>
            <w:tcBorders>
              <w:top w:val="nil"/>
              <w:left w:val="nil"/>
              <w:bottom w:val="single" w:color="57B8E7" w:sz="12" w:space="0"/>
              <w:right w:val="nil"/>
            </w:tcBorders>
            <w:shd w:val="clear" w:color="000000" w:fill="BEEDF8"/>
            <w:noWrap/>
            <w:vAlign w:val="center"/>
          </w:tcPr>
          <w:p>
            <w:pPr>
              <w:spacing w:line="320" w:lineRule="exact"/>
              <w:jc w:val="center"/>
              <w:rPr>
                <w:rFonts w:hint="eastAsia" w:ascii="Calibri" w:hAnsi="Calibri"/>
                <w:color w:val="000000"/>
                <w:sz w:val="20"/>
                <w:szCs w:val="20"/>
              </w:rPr>
            </w:pPr>
            <w:r>
              <w:rPr>
                <w:rFonts w:hint="eastAsia" w:ascii="Calibri" w:hAnsi="Calibri"/>
                <w:color w:val="000000"/>
                <w:sz w:val="20"/>
                <w:szCs w:val="20"/>
              </w:rPr>
              <w:t>4.7</w:t>
            </w:r>
          </w:p>
        </w:tc>
        <w:tc>
          <w:tcPr>
            <w:tcW w:w="1972" w:type="dxa"/>
            <w:tcBorders>
              <w:top w:val="nil"/>
              <w:left w:val="nil"/>
              <w:bottom w:val="single" w:color="57B8E7" w:sz="12" w:space="0"/>
              <w:right w:val="nil"/>
            </w:tcBorders>
            <w:shd w:val="clear" w:color="000000" w:fill="BEEDF8"/>
            <w:noWrap/>
            <w:vAlign w:val="center"/>
          </w:tcPr>
          <w:p>
            <w:pPr>
              <w:spacing w:line="320" w:lineRule="exact"/>
              <w:jc w:val="center"/>
              <w:rPr>
                <w:rFonts w:hint="eastAsia" w:ascii="Calibri" w:hAnsi="Calibri"/>
                <w:color w:val="000000"/>
                <w:sz w:val="20"/>
                <w:szCs w:val="20"/>
              </w:rPr>
            </w:pPr>
            <w:r>
              <w:rPr>
                <w:rFonts w:hint="eastAsia" w:ascii="Calibri" w:hAnsi="Calibri"/>
                <w:color w:val="000000"/>
                <w:sz w:val="20"/>
                <w:szCs w:val="20"/>
              </w:rPr>
              <w:t>1.7</w:t>
            </w:r>
          </w:p>
        </w:tc>
        <w:tc>
          <w:tcPr>
            <w:tcW w:w="1973" w:type="dxa"/>
            <w:tcBorders>
              <w:top w:val="nil"/>
              <w:left w:val="nil"/>
              <w:bottom w:val="single" w:color="57B8E7" w:sz="12" w:space="0"/>
              <w:right w:val="nil"/>
            </w:tcBorders>
            <w:shd w:val="clear" w:color="000000" w:fill="BEEDF8"/>
            <w:noWrap/>
            <w:vAlign w:val="center"/>
          </w:tcPr>
          <w:p>
            <w:pPr>
              <w:spacing w:line="320" w:lineRule="exact"/>
              <w:jc w:val="center"/>
              <w:rPr>
                <w:rFonts w:hint="eastAsia" w:ascii="Calibri" w:hAnsi="Calibri"/>
                <w:color w:val="000000"/>
                <w:sz w:val="20"/>
                <w:szCs w:val="20"/>
              </w:rPr>
            </w:pPr>
            <w:r>
              <w:rPr>
                <w:rFonts w:hint="eastAsia" w:ascii="Calibri" w:hAnsi="Calibri"/>
                <w:color w:val="000000"/>
                <w:sz w:val="20"/>
                <w:szCs w:val="20"/>
              </w:rPr>
              <w:t>3.6</w:t>
            </w:r>
          </w:p>
        </w:tc>
      </w:tr>
    </w:tbl>
    <w:p>
      <w:pPr>
        <w:jc w:val="left"/>
        <w:rPr>
          <w:rFonts w:hint="eastAsia" w:asciiTheme="minorEastAsia" w:hAnsiTheme="minorEastAsia" w:eastAsiaTheme="minorEastAsia" w:cstheme="minorEastAsia"/>
          <w:color w:val="000000"/>
          <w:sz w:val="21"/>
          <w:szCs w:val="32"/>
        </w:rPr>
      </w:pPr>
      <w:r>
        <w:rPr>
          <w:rFonts w:hint="eastAsia" w:asciiTheme="minorEastAsia" w:hAnsiTheme="minorEastAsia" w:eastAsiaTheme="minorEastAsia" w:cstheme="minorEastAsia"/>
          <w:color w:val="000000"/>
          <w:sz w:val="21"/>
          <w:szCs w:val="32"/>
        </w:rPr>
        <w:t>数据来源：麦可思-海南外国语职业学院2019届毕业生培养质量评价数据。</w:t>
      </w:r>
    </w:p>
    <w:p>
      <w:pPr>
        <w:pStyle w:val="6"/>
        <w:rPr>
          <w:rFonts w:ascii="Calibri" w:hAnsi="Calibri" w:cs="Arial"/>
          <w:b w:val="0"/>
          <w:szCs w:val="21"/>
        </w:rPr>
      </w:pPr>
    </w:p>
    <w:bookmarkEnd w:id="308"/>
    <w:bookmarkEnd w:id="309"/>
    <w:p>
      <w:pPr>
        <w:pStyle w:val="4"/>
        <w:bidi w:val="0"/>
        <w:ind w:left="0" w:leftChars="0" w:firstLine="400" w:firstLineChars="0"/>
      </w:pPr>
      <w:bookmarkStart w:id="313" w:name="_Toc531613902"/>
      <w:bookmarkStart w:id="314" w:name="_Toc17622"/>
      <w:bookmarkStart w:id="315" w:name="_Toc23434189"/>
      <w:bookmarkStart w:id="316" w:name="itb_167"/>
      <w:bookmarkStart w:id="317" w:name="pb_43"/>
      <w:r>
        <w:rPr>
          <w:rFonts w:hint="eastAsia"/>
        </w:rPr>
        <w:t>行业变化趋势</w:t>
      </w:r>
      <w:bookmarkEnd w:id="313"/>
      <w:bookmarkEnd w:id="314"/>
      <w:bookmarkEnd w:id="315"/>
    </w:p>
    <w:p>
      <w:pPr>
        <w:pStyle w:val="7"/>
        <w:bidi w:val="0"/>
        <w:rPr>
          <w:rFonts w:hint="eastAsia"/>
          <w:lang w:eastAsia="zh-CN"/>
        </w:rPr>
      </w:pPr>
      <w:r>
        <w:rPr>
          <w:rFonts w:hint="eastAsia"/>
          <w:lang w:eastAsia="zh-CN"/>
        </w:rPr>
        <w:t>本校2019届毕业生就业比例较高的行业类为住宿和餐饮业（20.6%）、零售业（15.8%）。从趋势变化来看，近三届毕业生就业于“住宿和餐饮业”、“零售业”、“信息传输、软件和信息技术服务业”的比例均呈上升趋势。</w:t>
      </w:r>
    </w:p>
    <w:p>
      <w:pPr>
        <w:pStyle w:val="8"/>
        <w:numPr>
          <w:ilvl w:val="0"/>
          <w:numId w:val="0"/>
        </w:numPr>
        <w:spacing w:line="360" w:lineRule="auto"/>
        <w:jc w:val="center"/>
        <w:rPr>
          <w:rFonts w:hint="eastAsia" w:asciiTheme="minorEastAsia" w:hAnsiTheme="minorEastAsia" w:eastAsiaTheme="minorEastAsia" w:cstheme="minorEastAsia"/>
          <w:b/>
          <w:bCs/>
          <w:kern w:val="2"/>
          <w:sz w:val="21"/>
          <w:szCs w:val="21"/>
          <w:lang w:val="en-US" w:eastAsia="zh-CN" w:bidi="ar-SA"/>
        </w:rPr>
      </w:pPr>
      <w:bookmarkStart w:id="318" w:name="_Toc23442274"/>
      <w:bookmarkStart w:id="319" w:name="_Toc531614269"/>
      <w:bookmarkStart w:id="320" w:name="_Toc497148144"/>
      <w:r>
        <w:rPr>
          <w:rFonts w:hint="eastAsia" w:asciiTheme="minorEastAsia" w:hAnsiTheme="minorEastAsia" w:eastAsiaTheme="minorEastAsia" w:cstheme="minorEastAsia"/>
          <w:b/>
          <w:bCs/>
          <w:kern w:val="2"/>
          <w:sz w:val="21"/>
          <w:szCs w:val="21"/>
          <w:lang w:val="en-US" w:eastAsia="zh-CN" w:bidi="ar-SA"/>
        </w:rPr>
        <w:t>表 3-2主要行业类需求变化趋势</w:t>
      </w:r>
      <w:bookmarkEnd w:id="318"/>
      <w:bookmarkEnd w:id="319"/>
      <w:bookmarkEnd w:id="320"/>
    </w:p>
    <w:tbl>
      <w:tblPr>
        <w:tblStyle w:val="14"/>
        <w:tblW w:w="8890" w:type="dxa"/>
        <w:tblInd w:w="0" w:type="dxa"/>
        <w:tblLayout w:type="fixed"/>
        <w:tblCellMar>
          <w:top w:w="0" w:type="dxa"/>
          <w:left w:w="108" w:type="dxa"/>
          <w:bottom w:w="0" w:type="dxa"/>
          <w:right w:w="108" w:type="dxa"/>
        </w:tblCellMar>
      </w:tblPr>
      <w:tblGrid>
        <w:gridCol w:w="3894"/>
        <w:gridCol w:w="1666"/>
        <w:gridCol w:w="1666"/>
        <w:gridCol w:w="1664"/>
      </w:tblGrid>
      <w:tr>
        <w:tblPrEx>
          <w:tblCellMar>
            <w:top w:w="0" w:type="dxa"/>
            <w:left w:w="108" w:type="dxa"/>
            <w:bottom w:w="0" w:type="dxa"/>
            <w:right w:w="108" w:type="dxa"/>
          </w:tblCellMar>
        </w:tblPrEx>
        <w:trPr>
          <w:trHeight w:val="270" w:hRule="atLeast"/>
          <w:tblHeader/>
        </w:trPr>
        <w:tc>
          <w:tcPr>
            <w:tcW w:w="3894" w:type="dxa"/>
            <w:tcBorders>
              <w:top w:val="nil"/>
              <w:left w:val="nil"/>
              <w:bottom w:val="nil"/>
              <w:right w:val="single" w:color="FFFFFF" w:sz="12" w:space="0"/>
            </w:tcBorders>
            <w:shd w:val="clear" w:color="000000" w:fill="2350A0"/>
            <w:noWrap/>
            <w:vAlign w:val="center"/>
          </w:tcPr>
          <w:p>
            <w:pPr>
              <w:widowControl/>
              <w:spacing w:line="320" w:lineRule="exact"/>
              <w:jc w:val="center"/>
              <w:rPr>
                <w:rFonts w:ascii="Calibri" w:hAnsi="Calibri"/>
                <w:b/>
                <w:bCs/>
                <w:color w:val="FFFFFF"/>
                <w:kern w:val="0"/>
                <w:sz w:val="20"/>
                <w:szCs w:val="20"/>
              </w:rPr>
            </w:pPr>
            <w:r>
              <w:rPr>
                <w:rFonts w:hint="eastAsia" w:ascii="Calibri" w:hAnsi="Calibri"/>
                <w:b/>
                <w:bCs/>
                <w:color w:val="FFFFFF"/>
                <w:sz w:val="20"/>
                <w:szCs w:val="20"/>
              </w:rPr>
              <w:t>行业类名称</w:t>
            </w:r>
          </w:p>
        </w:tc>
        <w:tc>
          <w:tcPr>
            <w:tcW w:w="1666" w:type="dxa"/>
            <w:tcBorders>
              <w:top w:val="nil"/>
              <w:left w:val="nil"/>
              <w:bottom w:val="nil"/>
              <w:right w:val="single" w:color="FFFFFF" w:sz="12" w:space="0"/>
            </w:tcBorders>
            <w:shd w:val="clear" w:color="000000" w:fill="2350A0"/>
            <w:noWrap/>
            <w:vAlign w:val="center"/>
          </w:tcPr>
          <w:p>
            <w:pPr>
              <w:spacing w:line="320" w:lineRule="exact"/>
              <w:jc w:val="center"/>
              <w:rPr>
                <w:rFonts w:hint="eastAsia" w:ascii="Calibri" w:hAnsi="Calibri"/>
                <w:b/>
                <w:bCs/>
                <w:color w:val="FFFFFF"/>
                <w:sz w:val="20"/>
                <w:szCs w:val="20"/>
              </w:rPr>
            </w:pPr>
            <w:r>
              <w:rPr>
                <w:rFonts w:hint="eastAsia" w:ascii="Calibri" w:hAnsi="Calibri"/>
                <w:b/>
                <w:bCs/>
                <w:color w:val="FFFFFF"/>
                <w:sz w:val="20"/>
                <w:szCs w:val="20"/>
              </w:rPr>
              <w:t>2017届（%）</w:t>
            </w:r>
          </w:p>
        </w:tc>
        <w:tc>
          <w:tcPr>
            <w:tcW w:w="1666" w:type="dxa"/>
            <w:tcBorders>
              <w:top w:val="nil"/>
              <w:left w:val="nil"/>
              <w:bottom w:val="nil"/>
              <w:right w:val="single" w:color="FFFFFF" w:sz="12" w:space="0"/>
            </w:tcBorders>
            <w:shd w:val="clear" w:color="000000" w:fill="2350A0"/>
            <w:noWrap/>
            <w:vAlign w:val="center"/>
          </w:tcPr>
          <w:p>
            <w:pPr>
              <w:spacing w:line="320" w:lineRule="exact"/>
              <w:jc w:val="center"/>
              <w:rPr>
                <w:rFonts w:hint="eastAsia" w:ascii="Calibri" w:hAnsi="Calibri"/>
                <w:b/>
                <w:bCs/>
                <w:color w:val="FFFFFF"/>
                <w:sz w:val="20"/>
                <w:szCs w:val="20"/>
              </w:rPr>
            </w:pPr>
            <w:r>
              <w:rPr>
                <w:rFonts w:hint="eastAsia" w:ascii="Calibri" w:hAnsi="Calibri"/>
                <w:b/>
                <w:bCs/>
                <w:color w:val="FFFFFF"/>
                <w:sz w:val="20"/>
                <w:szCs w:val="20"/>
              </w:rPr>
              <w:t>2018届（%）</w:t>
            </w:r>
          </w:p>
        </w:tc>
        <w:tc>
          <w:tcPr>
            <w:tcW w:w="1664" w:type="dxa"/>
            <w:tcBorders>
              <w:top w:val="nil"/>
              <w:left w:val="nil"/>
              <w:bottom w:val="nil"/>
              <w:right w:val="single" w:color="FFFFFF" w:sz="12" w:space="0"/>
            </w:tcBorders>
            <w:shd w:val="clear" w:color="000000" w:fill="2350A0"/>
            <w:noWrap/>
            <w:vAlign w:val="center"/>
          </w:tcPr>
          <w:p>
            <w:pPr>
              <w:spacing w:line="320" w:lineRule="exact"/>
              <w:jc w:val="center"/>
              <w:rPr>
                <w:rFonts w:hint="eastAsia" w:ascii="Calibri" w:hAnsi="Calibri"/>
                <w:b/>
                <w:bCs/>
                <w:color w:val="FFFFFF"/>
                <w:sz w:val="20"/>
                <w:szCs w:val="20"/>
              </w:rPr>
            </w:pPr>
            <w:r>
              <w:rPr>
                <w:rFonts w:hint="eastAsia" w:ascii="Calibri" w:hAnsi="Calibri"/>
                <w:b/>
                <w:bCs/>
                <w:color w:val="FFFFFF"/>
                <w:sz w:val="20"/>
                <w:szCs w:val="20"/>
              </w:rPr>
              <w:t>2019届（%）</w:t>
            </w:r>
          </w:p>
        </w:tc>
      </w:tr>
      <w:tr>
        <w:tblPrEx>
          <w:tblCellMar>
            <w:top w:w="0" w:type="dxa"/>
            <w:left w:w="108" w:type="dxa"/>
            <w:bottom w:w="0" w:type="dxa"/>
            <w:right w:w="108" w:type="dxa"/>
          </w:tblCellMar>
        </w:tblPrEx>
        <w:trPr>
          <w:trHeight w:val="270" w:hRule="atLeast"/>
        </w:trPr>
        <w:tc>
          <w:tcPr>
            <w:tcW w:w="3894" w:type="dxa"/>
            <w:tcBorders>
              <w:top w:val="nil"/>
              <w:left w:val="nil"/>
              <w:bottom w:val="nil"/>
              <w:right w:val="nil"/>
            </w:tcBorders>
            <w:shd w:val="clear" w:color="000000" w:fill="FFFFFF"/>
            <w:noWrap/>
            <w:vAlign w:val="center"/>
          </w:tcPr>
          <w:p>
            <w:pPr>
              <w:spacing w:line="320" w:lineRule="exact"/>
              <w:jc w:val="left"/>
              <w:rPr>
                <w:rFonts w:hint="eastAsia" w:ascii="Calibri" w:hAnsi="Calibri"/>
                <w:color w:val="000000"/>
                <w:sz w:val="20"/>
                <w:szCs w:val="20"/>
              </w:rPr>
            </w:pPr>
            <w:r>
              <w:rPr>
                <w:rFonts w:hint="eastAsia" w:ascii="Calibri" w:hAnsi="Calibri"/>
                <w:color w:val="000000"/>
                <w:sz w:val="20"/>
                <w:szCs w:val="20"/>
              </w:rPr>
              <w:t>住宿和餐饮业</w:t>
            </w:r>
          </w:p>
        </w:tc>
        <w:tc>
          <w:tcPr>
            <w:tcW w:w="1666" w:type="dxa"/>
            <w:tcBorders>
              <w:top w:val="nil"/>
              <w:left w:val="nil"/>
              <w:bottom w:val="nil"/>
              <w:right w:val="nil"/>
            </w:tcBorders>
            <w:shd w:val="clear" w:color="000000" w:fill="FFFFFF"/>
            <w:noWrap/>
            <w:vAlign w:val="center"/>
          </w:tcPr>
          <w:p>
            <w:pPr>
              <w:spacing w:line="320" w:lineRule="exact"/>
              <w:jc w:val="center"/>
              <w:rPr>
                <w:rFonts w:hint="eastAsia" w:ascii="Calibri" w:hAnsi="Calibri"/>
                <w:color w:val="000000"/>
                <w:sz w:val="20"/>
                <w:szCs w:val="20"/>
              </w:rPr>
            </w:pPr>
            <w:r>
              <w:rPr>
                <w:rFonts w:hint="eastAsia" w:ascii="Calibri" w:hAnsi="Calibri"/>
                <w:color w:val="000000"/>
                <w:sz w:val="20"/>
                <w:szCs w:val="20"/>
              </w:rPr>
              <w:t>11.3</w:t>
            </w:r>
          </w:p>
        </w:tc>
        <w:tc>
          <w:tcPr>
            <w:tcW w:w="1666" w:type="dxa"/>
            <w:tcBorders>
              <w:top w:val="nil"/>
              <w:left w:val="nil"/>
              <w:bottom w:val="nil"/>
              <w:right w:val="nil"/>
            </w:tcBorders>
            <w:shd w:val="clear" w:color="000000" w:fill="FFFFFF"/>
            <w:noWrap/>
            <w:vAlign w:val="center"/>
          </w:tcPr>
          <w:p>
            <w:pPr>
              <w:spacing w:line="320" w:lineRule="exact"/>
              <w:jc w:val="center"/>
              <w:rPr>
                <w:rFonts w:hint="eastAsia" w:ascii="Calibri" w:hAnsi="Calibri"/>
                <w:color w:val="000000"/>
                <w:sz w:val="20"/>
                <w:szCs w:val="20"/>
              </w:rPr>
            </w:pPr>
            <w:r>
              <w:rPr>
                <w:rFonts w:hint="eastAsia" w:ascii="Calibri" w:hAnsi="Calibri"/>
                <w:color w:val="000000"/>
                <w:sz w:val="20"/>
                <w:szCs w:val="20"/>
              </w:rPr>
              <w:t>13.8</w:t>
            </w:r>
          </w:p>
        </w:tc>
        <w:tc>
          <w:tcPr>
            <w:tcW w:w="1664" w:type="dxa"/>
            <w:tcBorders>
              <w:top w:val="nil"/>
              <w:left w:val="nil"/>
              <w:bottom w:val="nil"/>
              <w:right w:val="nil"/>
            </w:tcBorders>
            <w:shd w:val="clear" w:color="000000" w:fill="FFFFFF"/>
            <w:noWrap/>
            <w:vAlign w:val="center"/>
          </w:tcPr>
          <w:p>
            <w:pPr>
              <w:spacing w:line="320" w:lineRule="exact"/>
              <w:jc w:val="center"/>
              <w:rPr>
                <w:rFonts w:hint="eastAsia" w:ascii="Calibri" w:hAnsi="Calibri"/>
                <w:color w:val="000000"/>
                <w:sz w:val="20"/>
                <w:szCs w:val="20"/>
              </w:rPr>
            </w:pPr>
            <w:r>
              <w:rPr>
                <w:rFonts w:hint="eastAsia" w:ascii="Calibri" w:hAnsi="Calibri"/>
                <w:color w:val="000000"/>
                <w:sz w:val="20"/>
                <w:szCs w:val="20"/>
              </w:rPr>
              <w:t>20.6</w:t>
            </w:r>
          </w:p>
        </w:tc>
      </w:tr>
      <w:tr>
        <w:tblPrEx>
          <w:tblCellMar>
            <w:top w:w="0" w:type="dxa"/>
            <w:left w:w="108" w:type="dxa"/>
            <w:bottom w:w="0" w:type="dxa"/>
            <w:right w:w="108" w:type="dxa"/>
          </w:tblCellMar>
        </w:tblPrEx>
        <w:trPr>
          <w:trHeight w:val="270" w:hRule="atLeast"/>
        </w:trPr>
        <w:tc>
          <w:tcPr>
            <w:tcW w:w="3894" w:type="dxa"/>
            <w:tcBorders>
              <w:top w:val="nil"/>
              <w:left w:val="nil"/>
              <w:bottom w:val="nil"/>
              <w:right w:val="nil"/>
            </w:tcBorders>
            <w:shd w:val="clear" w:color="000000" w:fill="BEEDF8"/>
            <w:noWrap/>
            <w:vAlign w:val="center"/>
          </w:tcPr>
          <w:p>
            <w:pPr>
              <w:spacing w:line="320" w:lineRule="exact"/>
              <w:jc w:val="left"/>
              <w:rPr>
                <w:rFonts w:hint="eastAsia" w:ascii="Calibri" w:hAnsi="Calibri"/>
                <w:color w:val="000000"/>
                <w:sz w:val="20"/>
                <w:szCs w:val="20"/>
              </w:rPr>
            </w:pPr>
            <w:r>
              <w:rPr>
                <w:rFonts w:hint="eastAsia" w:ascii="Calibri" w:hAnsi="Calibri"/>
                <w:color w:val="000000"/>
                <w:sz w:val="20"/>
                <w:szCs w:val="20"/>
              </w:rPr>
              <w:t>零售业</w:t>
            </w:r>
          </w:p>
        </w:tc>
        <w:tc>
          <w:tcPr>
            <w:tcW w:w="1666" w:type="dxa"/>
            <w:tcBorders>
              <w:top w:val="nil"/>
              <w:left w:val="nil"/>
              <w:bottom w:val="nil"/>
              <w:right w:val="nil"/>
            </w:tcBorders>
            <w:shd w:val="clear" w:color="000000" w:fill="BEEDF8"/>
            <w:noWrap/>
            <w:vAlign w:val="center"/>
          </w:tcPr>
          <w:p>
            <w:pPr>
              <w:spacing w:line="320" w:lineRule="exact"/>
              <w:jc w:val="center"/>
              <w:rPr>
                <w:rFonts w:hint="eastAsia" w:ascii="Calibri" w:hAnsi="Calibri"/>
                <w:color w:val="000000"/>
                <w:sz w:val="20"/>
                <w:szCs w:val="20"/>
              </w:rPr>
            </w:pPr>
            <w:r>
              <w:rPr>
                <w:rFonts w:hint="eastAsia" w:ascii="Calibri" w:hAnsi="Calibri"/>
                <w:color w:val="000000"/>
                <w:sz w:val="20"/>
                <w:szCs w:val="20"/>
              </w:rPr>
              <w:t>11.7</w:t>
            </w:r>
          </w:p>
        </w:tc>
        <w:tc>
          <w:tcPr>
            <w:tcW w:w="1666" w:type="dxa"/>
            <w:tcBorders>
              <w:top w:val="nil"/>
              <w:left w:val="nil"/>
              <w:bottom w:val="nil"/>
              <w:right w:val="nil"/>
            </w:tcBorders>
            <w:shd w:val="clear" w:color="000000" w:fill="BEEDF8"/>
            <w:noWrap/>
            <w:vAlign w:val="center"/>
          </w:tcPr>
          <w:p>
            <w:pPr>
              <w:spacing w:line="320" w:lineRule="exact"/>
              <w:jc w:val="center"/>
              <w:rPr>
                <w:rFonts w:hint="eastAsia" w:ascii="Calibri" w:hAnsi="Calibri"/>
                <w:color w:val="000000"/>
                <w:sz w:val="20"/>
                <w:szCs w:val="20"/>
              </w:rPr>
            </w:pPr>
            <w:r>
              <w:rPr>
                <w:rFonts w:hint="eastAsia" w:ascii="Calibri" w:hAnsi="Calibri"/>
                <w:color w:val="000000"/>
                <w:sz w:val="20"/>
                <w:szCs w:val="20"/>
              </w:rPr>
              <w:t>12.5</w:t>
            </w:r>
          </w:p>
        </w:tc>
        <w:tc>
          <w:tcPr>
            <w:tcW w:w="1664" w:type="dxa"/>
            <w:tcBorders>
              <w:top w:val="nil"/>
              <w:left w:val="nil"/>
              <w:bottom w:val="nil"/>
              <w:right w:val="nil"/>
            </w:tcBorders>
            <w:shd w:val="clear" w:color="000000" w:fill="BEEDF8"/>
            <w:noWrap/>
            <w:vAlign w:val="center"/>
          </w:tcPr>
          <w:p>
            <w:pPr>
              <w:spacing w:line="320" w:lineRule="exact"/>
              <w:jc w:val="center"/>
              <w:rPr>
                <w:rFonts w:hint="eastAsia" w:ascii="Calibri" w:hAnsi="Calibri"/>
                <w:color w:val="000000"/>
                <w:sz w:val="20"/>
                <w:szCs w:val="20"/>
              </w:rPr>
            </w:pPr>
            <w:r>
              <w:rPr>
                <w:rFonts w:hint="eastAsia" w:ascii="Calibri" w:hAnsi="Calibri"/>
                <w:color w:val="000000"/>
                <w:sz w:val="20"/>
                <w:szCs w:val="20"/>
              </w:rPr>
              <w:t>15.8</w:t>
            </w:r>
          </w:p>
        </w:tc>
      </w:tr>
      <w:tr>
        <w:tblPrEx>
          <w:tblCellMar>
            <w:top w:w="0" w:type="dxa"/>
            <w:left w:w="108" w:type="dxa"/>
            <w:bottom w:w="0" w:type="dxa"/>
            <w:right w:w="108" w:type="dxa"/>
          </w:tblCellMar>
        </w:tblPrEx>
        <w:trPr>
          <w:trHeight w:val="270" w:hRule="atLeast"/>
        </w:trPr>
        <w:tc>
          <w:tcPr>
            <w:tcW w:w="3894" w:type="dxa"/>
            <w:tcBorders>
              <w:top w:val="nil"/>
              <w:left w:val="nil"/>
              <w:bottom w:val="nil"/>
              <w:right w:val="nil"/>
            </w:tcBorders>
            <w:shd w:val="clear" w:color="000000" w:fill="FFFFFF"/>
            <w:noWrap/>
            <w:vAlign w:val="center"/>
          </w:tcPr>
          <w:p>
            <w:pPr>
              <w:spacing w:line="320" w:lineRule="exact"/>
              <w:jc w:val="left"/>
              <w:rPr>
                <w:rFonts w:hint="eastAsia" w:ascii="Calibri" w:hAnsi="Calibri"/>
                <w:color w:val="000000"/>
                <w:sz w:val="20"/>
                <w:szCs w:val="20"/>
              </w:rPr>
            </w:pPr>
            <w:r>
              <w:rPr>
                <w:rFonts w:hint="eastAsia" w:ascii="Calibri" w:hAnsi="Calibri"/>
                <w:color w:val="000000"/>
                <w:sz w:val="20"/>
                <w:szCs w:val="20"/>
              </w:rPr>
              <w:t>教育业</w:t>
            </w:r>
          </w:p>
        </w:tc>
        <w:tc>
          <w:tcPr>
            <w:tcW w:w="1666" w:type="dxa"/>
            <w:tcBorders>
              <w:top w:val="nil"/>
              <w:left w:val="nil"/>
              <w:bottom w:val="nil"/>
              <w:right w:val="nil"/>
            </w:tcBorders>
            <w:shd w:val="clear" w:color="000000" w:fill="FFFFFF"/>
            <w:noWrap/>
            <w:vAlign w:val="center"/>
          </w:tcPr>
          <w:p>
            <w:pPr>
              <w:spacing w:line="320" w:lineRule="exact"/>
              <w:jc w:val="center"/>
              <w:rPr>
                <w:rFonts w:hint="eastAsia" w:ascii="Calibri" w:hAnsi="Calibri"/>
                <w:color w:val="000000"/>
                <w:sz w:val="20"/>
                <w:szCs w:val="20"/>
              </w:rPr>
            </w:pPr>
            <w:r>
              <w:rPr>
                <w:rFonts w:hint="eastAsia" w:ascii="Calibri" w:hAnsi="Calibri"/>
                <w:color w:val="000000"/>
                <w:sz w:val="20"/>
                <w:szCs w:val="20"/>
              </w:rPr>
              <w:t>27.0</w:t>
            </w:r>
          </w:p>
        </w:tc>
        <w:tc>
          <w:tcPr>
            <w:tcW w:w="1666" w:type="dxa"/>
            <w:tcBorders>
              <w:top w:val="nil"/>
              <w:left w:val="nil"/>
              <w:bottom w:val="nil"/>
              <w:right w:val="nil"/>
            </w:tcBorders>
            <w:shd w:val="clear" w:color="000000" w:fill="FFFFFF"/>
            <w:noWrap/>
            <w:vAlign w:val="center"/>
          </w:tcPr>
          <w:p>
            <w:pPr>
              <w:spacing w:line="320" w:lineRule="exact"/>
              <w:jc w:val="center"/>
              <w:rPr>
                <w:rFonts w:hint="eastAsia" w:ascii="Calibri" w:hAnsi="Calibri"/>
                <w:color w:val="000000"/>
                <w:sz w:val="20"/>
                <w:szCs w:val="20"/>
              </w:rPr>
            </w:pPr>
            <w:r>
              <w:rPr>
                <w:rFonts w:hint="eastAsia" w:ascii="Calibri" w:hAnsi="Calibri"/>
                <w:color w:val="000000"/>
                <w:sz w:val="20"/>
                <w:szCs w:val="20"/>
              </w:rPr>
              <w:t>29.7</w:t>
            </w:r>
          </w:p>
        </w:tc>
        <w:tc>
          <w:tcPr>
            <w:tcW w:w="1664" w:type="dxa"/>
            <w:tcBorders>
              <w:top w:val="nil"/>
              <w:left w:val="nil"/>
              <w:bottom w:val="nil"/>
              <w:right w:val="nil"/>
            </w:tcBorders>
            <w:shd w:val="clear" w:color="000000" w:fill="FFFFFF"/>
            <w:noWrap/>
            <w:vAlign w:val="center"/>
          </w:tcPr>
          <w:p>
            <w:pPr>
              <w:spacing w:line="320" w:lineRule="exact"/>
              <w:jc w:val="center"/>
              <w:rPr>
                <w:rFonts w:hint="eastAsia" w:ascii="Calibri" w:hAnsi="Calibri"/>
                <w:color w:val="000000"/>
                <w:sz w:val="20"/>
                <w:szCs w:val="20"/>
              </w:rPr>
            </w:pPr>
            <w:r>
              <w:rPr>
                <w:rFonts w:hint="eastAsia" w:ascii="Calibri" w:hAnsi="Calibri"/>
                <w:color w:val="000000"/>
                <w:sz w:val="20"/>
                <w:szCs w:val="20"/>
              </w:rPr>
              <w:t>7.2</w:t>
            </w:r>
          </w:p>
        </w:tc>
      </w:tr>
      <w:tr>
        <w:tblPrEx>
          <w:tblCellMar>
            <w:top w:w="0" w:type="dxa"/>
            <w:left w:w="108" w:type="dxa"/>
            <w:bottom w:w="0" w:type="dxa"/>
            <w:right w:w="108" w:type="dxa"/>
          </w:tblCellMar>
        </w:tblPrEx>
        <w:trPr>
          <w:trHeight w:val="270" w:hRule="atLeast"/>
        </w:trPr>
        <w:tc>
          <w:tcPr>
            <w:tcW w:w="3894" w:type="dxa"/>
            <w:tcBorders>
              <w:top w:val="nil"/>
              <w:left w:val="nil"/>
              <w:bottom w:val="nil"/>
              <w:right w:val="nil"/>
            </w:tcBorders>
            <w:shd w:val="clear" w:color="000000" w:fill="BEEDF8"/>
            <w:noWrap/>
            <w:vAlign w:val="center"/>
          </w:tcPr>
          <w:p>
            <w:pPr>
              <w:spacing w:line="320" w:lineRule="exact"/>
              <w:jc w:val="left"/>
              <w:rPr>
                <w:rFonts w:hint="eastAsia" w:ascii="Calibri" w:hAnsi="Calibri"/>
                <w:color w:val="000000"/>
                <w:sz w:val="20"/>
                <w:szCs w:val="20"/>
              </w:rPr>
            </w:pPr>
            <w:r>
              <w:rPr>
                <w:rFonts w:hint="eastAsia" w:ascii="Calibri" w:hAnsi="Calibri"/>
                <w:color w:val="000000"/>
                <w:sz w:val="20"/>
                <w:szCs w:val="20"/>
              </w:rPr>
              <w:t>信息传输、软件和信息技术服务业</w:t>
            </w:r>
          </w:p>
        </w:tc>
        <w:tc>
          <w:tcPr>
            <w:tcW w:w="1666" w:type="dxa"/>
            <w:tcBorders>
              <w:top w:val="nil"/>
              <w:left w:val="nil"/>
              <w:bottom w:val="nil"/>
              <w:right w:val="nil"/>
            </w:tcBorders>
            <w:shd w:val="clear" w:color="000000" w:fill="BEEDF8"/>
            <w:noWrap/>
            <w:vAlign w:val="center"/>
          </w:tcPr>
          <w:p>
            <w:pPr>
              <w:spacing w:line="320" w:lineRule="exact"/>
              <w:jc w:val="center"/>
              <w:rPr>
                <w:rFonts w:hint="eastAsia" w:ascii="Calibri" w:hAnsi="Calibri"/>
                <w:color w:val="000000"/>
                <w:sz w:val="20"/>
                <w:szCs w:val="20"/>
              </w:rPr>
            </w:pPr>
            <w:r>
              <w:rPr>
                <w:rFonts w:hint="eastAsia" w:ascii="Calibri" w:hAnsi="Calibri"/>
                <w:color w:val="000000"/>
                <w:sz w:val="20"/>
                <w:szCs w:val="20"/>
              </w:rPr>
              <w:t>1.8</w:t>
            </w:r>
          </w:p>
        </w:tc>
        <w:tc>
          <w:tcPr>
            <w:tcW w:w="1666" w:type="dxa"/>
            <w:tcBorders>
              <w:top w:val="nil"/>
              <w:left w:val="nil"/>
              <w:bottom w:val="nil"/>
              <w:right w:val="nil"/>
            </w:tcBorders>
            <w:shd w:val="clear" w:color="000000" w:fill="BEEDF8"/>
            <w:noWrap/>
            <w:vAlign w:val="center"/>
          </w:tcPr>
          <w:p>
            <w:pPr>
              <w:spacing w:line="320" w:lineRule="exact"/>
              <w:jc w:val="center"/>
              <w:rPr>
                <w:rFonts w:hint="eastAsia" w:ascii="Calibri" w:hAnsi="Calibri"/>
                <w:color w:val="000000"/>
                <w:sz w:val="20"/>
                <w:szCs w:val="20"/>
              </w:rPr>
            </w:pPr>
            <w:r>
              <w:rPr>
                <w:rFonts w:hint="eastAsia" w:ascii="Calibri" w:hAnsi="Calibri"/>
                <w:color w:val="000000"/>
                <w:sz w:val="20"/>
                <w:szCs w:val="20"/>
              </w:rPr>
              <w:t>4.9</w:t>
            </w:r>
          </w:p>
        </w:tc>
        <w:tc>
          <w:tcPr>
            <w:tcW w:w="1664" w:type="dxa"/>
            <w:tcBorders>
              <w:top w:val="nil"/>
              <w:left w:val="nil"/>
              <w:bottom w:val="nil"/>
              <w:right w:val="nil"/>
            </w:tcBorders>
            <w:shd w:val="clear" w:color="000000" w:fill="BEEDF8"/>
            <w:noWrap/>
            <w:vAlign w:val="center"/>
          </w:tcPr>
          <w:p>
            <w:pPr>
              <w:spacing w:line="320" w:lineRule="exact"/>
              <w:jc w:val="center"/>
              <w:rPr>
                <w:rFonts w:hint="eastAsia" w:ascii="Calibri" w:hAnsi="Calibri"/>
                <w:color w:val="000000"/>
                <w:sz w:val="20"/>
                <w:szCs w:val="20"/>
              </w:rPr>
            </w:pPr>
            <w:r>
              <w:rPr>
                <w:rFonts w:hint="eastAsia" w:ascii="Calibri" w:hAnsi="Calibri"/>
                <w:color w:val="000000"/>
                <w:sz w:val="20"/>
                <w:szCs w:val="20"/>
              </w:rPr>
              <w:t>6.4</w:t>
            </w:r>
          </w:p>
        </w:tc>
      </w:tr>
      <w:tr>
        <w:tblPrEx>
          <w:tblCellMar>
            <w:top w:w="0" w:type="dxa"/>
            <w:left w:w="108" w:type="dxa"/>
            <w:bottom w:w="0" w:type="dxa"/>
            <w:right w:w="108" w:type="dxa"/>
          </w:tblCellMar>
        </w:tblPrEx>
        <w:trPr>
          <w:trHeight w:val="285" w:hRule="atLeast"/>
        </w:trPr>
        <w:tc>
          <w:tcPr>
            <w:tcW w:w="3894" w:type="dxa"/>
            <w:tcBorders>
              <w:top w:val="nil"/>
              <w:left w:val="nil"/>
              <w:bottom w:val="single" w:color="57B8E7" w:sz="12" w:space="0"/>
              <w:right w:val="nil"/>
            </w:tcBorders>
            <w:shd w:val="clear" w:color="000000" w:fill="FFFFFF"/>
            <w:noWrap/>
            <w:vAlign w:val="center"/>
          </w:tcPr>
          <w:p>
            <w:pPr>
              <w:spacing w:line="320" w:lineRule="exact"/>
              <w:jc w:val="left"/>
              <w:rPr>
                <w:rFonts w:hint="eastAsia" w:ascii="Calibri" w:hAnsi="Calibri"/>
                <w:color w:val="000000"/>
                <w:sz w:val="20"/>
                <w:szCs w:val="20"/>
              </w:rPr>
            </w:pPr>
            <w:r>
              <w:rPr>
                <w:rFonts w:hint="eastAsia" w:ascii="Calibri" w:hAnsi="Calibri"/>
                <w:color w:val="000000"/>
                <w:sz w:val="20"/>
                <w:szCs w:val="20"/>
              </w:rPr>
              <w:t>其他服务业（除行政服务）</w:t>
            </w:r>
          </w:p>
        </w:tc>
        <w:tc>
          <w:tcPr>
            <w:tcW w:w="1666" w:type="dxa"/>
            <w:tcBorders>
              <w:top w:val="nil"/>
              <w:left w:val="nil"/>
              <w:bottom w:val="single" w:color="57B8E7" w:sz="12" w:space="0"/>
              <w:right w:val="nil"/>
            </w:tcBorders>
            <w:shd w:val="clear" w:color="000000" w:fill="FFFFFF"/>
            <w:noWrap/>
            <w:vAlign w:val="center"/>
          </w:tcPr>
          <w:p>
            <w:pPr>
              <w:spacing w:line="320" w:lineRule="exact"/>
              <w:jc w:val="center"/>
              <w:rPr>
                <w:rFonts w:hint="eastAsia" w:ascii="Calibri" w:hAnsi="Calibri"/>
                <w:color w:val="000000"/>
                <w:sz w:val="20"/>
                <w:szCs w:val="20"/>
              </w:rPr>
            </w:pPr>
            <w:r>
              <w:rPr>
                <w:rFonts w:hint="eastAsia" w:ascii="Calibri" w:hAnsi="Calibri"/>
                <w:color w:val="000000"/>
                <w:sz w:val="20"/>
                <w:szCs w:val="20"/>
              </w:rPr>
              <w:t>4.3</w:t>
            </w:r>
          </w:p>
        </w:tc>
        <w:tc>
          <w:tcPr>
            <w:tcW w:w="1666" w:type="dxa"/>
            <w:tcBorders>
              <w:top w:val="nil"/>
              <w:left w:val="nil"/>
              <w:bottom w:val="single" w:color="57B8E7" w:sz="12" w:space="0"/>
              <w:right w:val="nil"/>
            </w:tcBorders>
            <w:shd w:val="clear" w:color="000000" w:fill="FFFFFF"/>
            <w:noWrap/>
            <w:vAlign w:val="center"/>
          </w:tcPr>
          <w:p>
            <w:pPr>
              <w:spacing w:line="320" w:lineRule="exact"/>
              <w:jc w:val="center"/>
              <w:rPr>
                <w:rFonts w:hint="eastAsia" w:ascii="Calibri" w:hAnsi="Calibri"/>
                <w:color w:val="000000"/>
                <w:sz w:val="20"/>
                <w:szCs w:val="20"/>
              </w:rPr>
            </w:pPr>
            <w:r>
              <w:rPr>
                <w:rFonts w:hint="eastAsia" w:ascii="Calibri" w:hAnsi="Calibri"/>
                <w:color w:val="000000"/>
                <w:sz w:val="20"/>
                <w:szCs w:val="20"/>
              </w:rPr>
              <w:t>3.1</w:t>
            </w:r>
          </w:p>
        </w:tc>
        <w:tc>
          <w:tcPr>
            <w:tcW w:w="1664" w:type="dxa"/>
            <w:tcBorders>
              <w:top w:val="nil"/>
              <w:left w:val="nil"/>
              <w:bottom w:val="single" w:color="57B8E7" w:sz="12" w:space="0"/>
              <w:right w:val="nil"/>
            </w:tcBorders>
            <w:shd w:val="clear" w:color="000000" w:fill="FFFFFF"/>
            <w:noWrap/>
            <w:vAlign w:val="center"/>
          </w:tcPr>
          <w:p>
            <w:pPr>
              <w:spacing w:line="320" w:lineRule="exact"/>
              <w:jc w:val="center"/>
              <w:rPr>
                <w:rFonts w:hint="eastAsia" w:ascii="Calibri" w:hAnsi="Calibri"/>
                <w:color w:val="000000"/>
                <w:sz w:val="20"/>
                <w:szCs w:val="20"/>
              </w:rPr>
            </w:pPr>
            <w:r>
              <w:rPr>
                <w:rFonts w:hint="eastAsia" w:ascii="Calibri" w:hAnsi="Calibri"/>
                <w:color w:val="000000"/>
                <w:sz w:val="20"/>
                <w:szCs w:val="20"/>
              </w:rPr>
              <w:t>5.3</w:t>
            </w:r>
          </w:p>
        </w:tc>
      </w:tr>
    </w:tbl>
    <w:p>
      <w:pPr>
        <w:jc w:val="left"/>
        <w:rPr>
          <w:rFonts w:hint="eastAsia" w:asciiTheme="minorEastAsia" w:hAnsiTheme="minorEastAsia" w:eastAsiaTheme="minorEastAsia" w:cstheme="minorEastAsia"/>
          <w:color w:val="000000"/>
          <w:sz w:val="21"/>
          <w:szCs w:val="32"/>
        </w:rPr>
      </w:pPr>
      <w:r>
        <w:rPr>
          <w:rFonts w:hint="eastAsia" w:asciiTheme="minorEastAsia" w:hAnsiTheme="minorEastAsia" w:eastAsiaTheme="minorEastAsia" w:cstheme="minorEastAsia"/>
          <w:color w:val="000000"/>
          <w:sz w:val="21"/>
          <w:szCs w:val="32"/>
        </w:rPr>
        <w:t>数据来源：麦可思-海南外国语职业学院2019届毕业生培养质量评价数据。</w:t>
      </w:r>
    </w:p>
    <w:bookmarkEnd w:id="316"/>
    <w:p>
      <w:pPr>
        <w:pStyle w:val="6"/>
        <w:spacing w:after="120"/>
        <w:rPr>
          <w:rFonts w:ascii="Calibri" w:hAnsi="Calibri" w:cs="Arial"/>
          <w:b w:val="0"/>
          <w:szCs w:val="21"/>
        </w:rPr>
      </w:pPr>
    </w:p>
    <w:p>
      <w:pPr>
        <w:rPr>
          <w:rFonts w:hint="eastAsia" w:ascii="Calibri" w:hAnsi="Calibri"/>
        </w:rPr>
      </w:pPr>
    </w:p>
    <w:p>
      <w:pPr>
        <w:rPr>
          <w:rFonts w:ascii="Calibri" w:hAnsi="Calibri"/>
        </w:rPr>
        <w:sectPr>
          <w:footnotePr>
            <w:numRestart w:val="eachPage"/>
          </w:footnotePr>
          <w:pgSz w:w="11906" w:h="16838"/>
          <w:pgMar w:top="1985" w:right="1531" w:bottom="1701" w:left="1701" w:header="964" w:footer="851" w:gutter="0"/>
          <w:pgNumType w:fmt="decimal"/>
          <w:cols w:space="425" w:num="1"/>
          <w:docGrid w:linePitch="312" w:charSpace="0"/>
        </w:sectPr>
      </w:pPr>
    </w:p>
    <w:bookmarkEnd w:id="317"/>
    <w:p>
      <w:pPr>
        <w:pStyle w:val="4"/>
        <w:bidi w:val="0"/>
        <w:ind w:left="0" w:leftChars="0" w:firstLine="400" w:firstLineChars="0"/>
      </w:pPr>
      <w:bookmarkStart w:id="321" w:name="_Toc23434190"/>
      <w:bookmarkStart w:id="322" w:name="_Toc531613903"/>
      <w:bookmarkStart w:id="323" w:name="_Toc9434"/>
      <w:bookmarkStart w:id="324" w:name="icb_87"/>
      <w:bookmarkStart w:id="325" w:name="pb_44"/>
      <w:r>
        <w:rPr>
          <w:rFonts w:hint="eastAsia"/>
        </w:rPr>
        <w:t>用人单位变化趋势</w:t>
      </w:r>
      <w:bookmarkEnd w:id="321"/>
      <w:bookmarkEnd w:id="322"/>
      <w:bookmarkEnd w:id="323"/>
    </w:p>
    <w:p>
      <w:pPr>
        <w:pStyle w:val="7"/>
        <w:bidi w:val="0"/>
        <w:rPr>
          <w:rFonts w:ascii="Calibri" w:hAnsi="Calibri" w:cs="Arial"/>
          <w:b w:val="0"/>
          <w:szCs w:val="21"/>
        </w:rPr>
      </w:pPr>
      <w:r>
        <w:rPr>
          <w:rFonts w:hint="eastAsia"/>
          <w:lang w:eastAsia="zh-CN"/>
        </w:rPr>
        <w:t>本校2019届毕业生主要就业的用人单位类型是民营企业/个体（72%），比本校2018届（70%）高2个百分点；毕业生主要就业于300人及以下规模的中小型用人单位（64%），比本校2018届（67%）低3个百分点。</w:t>
      </w:r>
    </w:p>
    <w:p>
      <w:pPr>
        <w:pStyle w:val="8"/>
        <w:numPr>
          <w:ilvl w:val="0"/>
          <w:numId w:val="0"/>
        </w:numPr>
        <w:spacing w:line="360" w:lineRule="auto"/>
        <w:jc w:val="center"/>
        <w:rPr>
          <w:rFonts w:hint="eastAsia" w:asciiTheme="minorEastAsia" w:hAnsiTheme="minorEastAsia" w:eastAsiaTheme="minorEastAsia" w:cstheme="minorEastAsia"/>
          <w:b/>
          <w:bCs/>
          <w:kern w:val="2"/>
          <w:sz w:val="21"/>
          <w:szCs w:val="21"/>
          <w:lang w:val="en-US" w:eastAsia="zh-CN" w:bidi="ar-SA"/>
        </w:rPr>
      </w:pPr>
      <w:bookmarkStart w:id="326" w:name="_Toc497148147"/>
      <w:bookmarkStart w:id="327" w:name="_Toc23442275"/>
      <w:bookmarkStart w:id="328" w:name="_Toc531614272"/>
      <w:r>
        <w:rPr>
          <w:rFonts w:ascii="Calibri" w:hAnsi="Calibri" w:cs="Arial"/>
          <w:b/>
          <w:szCs w:val="21"/>
        </w:rPr>
        <w:drawing>
          <wp:anchor distT="0" distB="0" distL="114300" distR="114300" simplePos="0" relativeHeight="251663360" behindDoc="0" locked="0" layoutInCell="1" allowOverlap="1">
            <wp:simplePos x="0" y="0"/>
            <wp:positionH relativeFrom="column">
              <wp:posOffset>107315</wp:posOffset>
            </wp:positionH>
            <wp:positionV relativeFrom="paragraph">
              <wp:posOffset>70485</wp:posOffset>
            </wp:positionV>
            <wp:extent cx="5362575" cy="2477770"/>
            <wp:effectExtent l="0" t="0" r="0" b="0"/>
            <wp:wrapTopAndBottom/>
            <wp:docPr id="95"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图片 14"/>
                    <pic:cNvPicPr>
                      <a:picLocks noChangeAspect="1"/>
                    </pic:cNvPicPr>
                  </pic:nvPicPr>
                  <pic:blipFill>
                    <a:blip r:embed="rId54"/>
                    <a:stretch>
                      <a:fillRect/>
                    </a:stretch>
                  </pic:blipFill>
                  <pic:spPr>
                    <a:xfrm>
                      <a:off x="0" y="0"/>
                      <a:ext cx="5362575" cy="2477770"/>
                    </a:xfrm>
                    <a:prstGeom prst="rect">
                      <a:avLst/>
                    </a:prstGeom>
                    <a:noFill/>
                    <a:ln>
                      <a:noFill/>
                    </a:ln>
                  </pic:spPr>
                </pic:pic>
              </a:graphicData>
            </a:graphic>
          </wp:anchor>
        </w:drawing>
      </w:r>
      <w:r>
        <w:rPr>
          <w:rFonts w:hint="eastAsia" w:asciiTheme="minorEastAsia" w:hAnsiTheme="minorEastAsia" w:eastAsiaTheme="minorEastAsia" w:cstheme="minorEastAsia"/>
          <w:b/>
          <w:bCs/>
          <w:kern w:val="2"/>
          <w:sz w:val="21"/>
          <w:szCs w:val="21"/>
          <w:lang w:val="en-US" w:eastAsia="zh-CN" w:bidi="ar-SA"/>
        </w:rPr>
        <w:t>图 3-1不同类型用人单位需求变化趋势</w:t>
      </w:r>
      <w:bookmarkEnd w:id="326"/>
      <w:bookmarkEnd w:id="327"/>
      <w:bookmarkEnd w:id="328"/>
    </w:p>
    <w:p>
      <w:pPr>
        <w:jc w:val="left"/>
        <w:rPr>
          <w:rFonts w:hint="eastAsia" w:asciiTheme="minorEastAsia" w:hAnsiTheme="minorEastAsia" w:eastAsiaTheme="minorEastAsia" w:cstheme="minorEastAsia"/>
          <w:color w:val="000000"/>
          <w:sz w:val="21"/>
          <w:szCs w:val="32"/>
        </w:rPr>
      </w:pPr>
      <w:r>
        <w:rPr>
          <w:rFonts w:hint="eastAsia" w:asciiTheme="minorEastAsia" w:hAnsiTheme="minorEastAsia" w:eastAsiaTheme="minorEastAsia" w:cstheme="minorEastAsia"/>
          <w:color w:val="000000"/>
          <w:sz w:val="21"/>
          <w:szCs w:val="32"/>
        </w:rPr>
        <w:t>数据来源：麦可思-海南外国语职业学院2019届毕业生培养质量评价数据。</w:t>
      </w:r>
    </w:p>
    <w:bookmarkEnd w:id="324"/>
    <w:p>
      <w:pPr>
        <w:pStyle w:val="6"/>
        <w:spacing w:line="240" w:lineRule="auto"/>
        <w:jc w:val="center"/>
        <w:rPr>
          <w:rFonts w:hint="eastAsia" w:asciiTheme="minorEastAsia" w:hAnsiTheme="minorEastAsia" w:eastAsiaTheme="minorEastAsia" w:cstheme="minorEastAsia"/>
          <w:b/>
          <w:bCs/>
          <w:kern w:val="2"/>
          <w:sz w:val="21"/>
          <w:szCs w:val="21"/>
          <w:lang w:val="en-US" w:eastAsia="zh-CN" w:bidi="ar-SA"/>
        </w:rPr>
      </w:pPr>
      <w:r>
        <w:rPr>
          <w:rFonts w:hint="eastAsia" w:asciiTheme="minorEastAsia" w:hAnsiTheme="minorEastAsia" w:eastAsiaTheme="minorEastAsia" w:cstheme="minorEastAsia"/>
          <w:b/>
          <w:bCs/>
          <w:kern w:val="2"/>
          <w:sz w:val="21"/>
          <w:szCs w:val="21"/>
          <w:lang w:val="en-US" w:eastAsia="zh-CN" w:bidi="ar-SA"/>
        </w:rPr>
        <w:drawing>
          <wp:anchor distT="0" distB="0" distL="114300" distR="114300" simplePos="0" relativeHeight="251665408" behindDoc="0" locked="0" layoutInCell="1" allowOverlap="1">
            <wp:simplePos x="0" y="0"/>
            <wp:positionH relativeFrom="column">
              <wp:posOffset>-57785</wp:posOffset>
            </wp:positionH>
            <wp:positionV relativeFrom="paragraph">
              <wp:posOffset>219710</wp:posOffset>
            </wp:positionV>
            <wp:extent cx="5362575" cy="2571750"/>
            <wp:effectExtent l="0" t="0" r="8890" b="0"/>
            <wp:wrapTopAndBottom/>
            <wp:docPr id="94"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图片 15"/>
                    <pic:cNvPicPr>
                      <a:picLocks noChangeAspect="1"/>
                    </pic:cNvPicPr>
                  </pic:nvPicPr>
                  <pic:blipFill>
                    <a:blip r:embed="rId55"/>
                    <a:stretch>
                      <a:fillRect/>
                    </a:stretch>
                  </pic:blipFill>
                  <pic:spPr>
                    <a:xfrm>
                      <a:off x="0" y="0"/>
                      <a:ext cx="5362575" cy="2571750"/>
                    </a:xfrm>
                    <a:prstGeom prst="rect">
                      <a:avLst/>
                    </a:prstGeom>
                    <a:noFill/>
                    <a:ln>
                      <a:noFill/>
                    </a:ln>
                  </pic:spPr>
                </pic:pic>
              </a:graphicData>
            </a:graphic>
          </wp:anchor>
        </w:drawing>
      </w:r>
      <w:bookmarkStart w:id="329" w:name="_Toc497148148"/>
      <w:bookmarkStart w:id="330" w:name="_Toc531614273"/>
      <w:bookmarkStart w:id="331" w:name="_Toc23442276"/>
      <w:bookmarkStart w:id="332" w:name="icb_89"/>
      <w:r>
        <w:rPr>
          <w:rFonts w:hint="eastAsia" w:asciiTheme="minorEastAsia" w:hAnsiTheme="minorEastAsia" w:eastAsiaTheme="minorEastAsia" w:cstheme="minorEastAsia"/>
          <w:b/>
          <w:bCs/>
          <w:kern w:val="2"/>
          <w:sz w:val="21"/>
          <w:szCs w:val="21"/>
          <w:lang w:val="en-US" w:eastAsia="zh-CN" w:bidi="ar-SA"/>
        </w:rPr>
        <w:t>图 3-2不同规模用人单位需求变化趋势</w:t>
      </w:r>
      <w:bookmarkEnd w:id="329"/>
      <w:bookmarkEnd w:id="330"/>
      <w:bookmarkEnd w:id="331"/>
    </w:p>
    <w:p>
      <w:pPr>
        <w:jc w:val="left"/>
        <w:rPr>
          <w:rFonts w:ascii="Calibri" w:hAnsi="Calibri" w:cs="Calibri"/>
          <w:b w:val="0"/>
          <w:sz w:val="18"/>
          <w:szCs w:val="21"/>
        </w:rPr>
      </w:pPr>
      <w:r>
        <w:rPr>
          <w:rFonts w:hint="eastAsia" w:asciiTheme="minorEastAsia" w:hAnsiTheme="minorEastAsia" w:eastAsiaTheme="minorEastAsia" w:cstheme="minorEastAsia"/>
          <w:color w:val="000000"/>
          <w:sz w:val="21"/>
          <w:szCs w:val="32"/>
        </w:rPr>
        <w:t>数据来源：麦可思-海南外国语职业学院2019届毕业生培养质量评价数据。</w:t>
      </w:r>
      <w:bookmarkEnd w:id="332"/>
    </w:p>
    <w:p>
      <w:pPr>
        <w:pStyle w:val="4"/>
        <w:numPr>
          <w:ilvl w:val="0"/>
          <w:numId w:val="6"/>
        </w:numPr>
        <w:bidi w:val="0"/>
        <w:sectPr>
          <w:footnotePr>
            <w:numRestart w:val="eachPage"/>
          </w:footnotePr>
          <w:pgSz w:w="11906" w:h="16838"/>
          <w:pgMar w:top="1985" w:right="1531" w:bottom="1701" w:left="1701" w:header="964" w:footer="851" w:gutter="0"/>
          <w:pgNumType w:fmt="decimal"/>
          <w:cols w:space="425" w:num="1"/>
          <w:docGrid w:linePitch="312" w:charSpace="0"/>
        </w:sectPr>
      </w:pPr>
    </w:p>
    <w:bookmarkEnd w:id="325"/>
    <w:p>
      <w:pPr>
        <w:pStyle w:val="4"/>
        <w:bidi w:val="0"/>
        <w:ind w:left="0" w:leftChars="0" w:firstLine="400" w:firstLineChars="0"/>
      </w:pPr>
      <w:bookmarkStart w:id="333" w:name="_Toc23434191"/>
      <w:bookmarkStart w:id="334" w:name="_Toc17722"/>
      <w:bookmarkStart w:id="335" w:name="icb_93"/>
      <w:bookmarkStart w:id="336" w:name="pb_506"/>
      <w:r>
        <w:rPr>
          <w:rFonts w:hint="eastAsia"/>
        </w:rPr>
        <w:t>就业地区变化趋势</w:t>
      </w:r>
      <w:bookmarkEnd w:id="333"/>
      <w:bookmarkEnd w:id="334"/>
    </w:p>
    <w:p>
      <w:pPr>
        <w:pStyle w:val="7"/>
        <w:bidi w:val="0"/>
        <w:rPr>
          <w:rFonts w:hint="eastAsia"/>
        </w:rPr>
      </w:pPr>
      <w:r>
        <w:rPr>
          <w:rFonts w:hint="eastAsia"/>
        </w:rPr>
        <w:t>本校2016届~2019届就业毕业生在海南就业的比例（分别为58.0%、48.9%、56.3%、51.8%）有所下降；2019届毕业生就业量较大的城市为海口（22.4%）、深圳（16.0%）、三亚（13.8%）。</w:t>
      </w:r>
    </w:p>
    <w:p>
      <w:pPr>
        <w:jc w:val="center"/>
        <w:rPr>
          <w:rFonts w:hint="eastAsia" w:ascii="Calibri" w:hAnsi="Calibri"/>
        </w:rPr>
      </w:pPr>
      <w:r>
        <w:rPr>
          <w:rFonts w:ascii="Calibri" w:hAnsi="Calibri"/>
        </w:rPr>
        <w:drawing>
          <wp:inline distT="0" distB="0" distL="114300" distR="114300">
            <wp:extent cx="5210810" cy="2515235"/>
            <wp:effectExtent l="0" t="0" r="8890" b="0"/>
            <wp:docPr id="91"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图片 16"/>
                    <pic:cNvPicPr>
                      <a:picLocks noChangeAspect="1"/>
                    </pic:cNvPicPr>
                  </pic:nvPicPr>
                  <pic:blipFill>
                    <a:blip r:embed="rId56"/>
                    <a:stretch>
                      <a:fillRect/>
                    </a:stretch>
                  </pic:blipFill>
                  <pic:spPr>
                    <a:xfrm>
                      <a:off x="0" y="0"/>
                      <a:ext cx="5210810" cy="2515235"/>
                    </a:xfrm>
                    <a:prstGeom prst="rect">
                      <a:avLst/>
                    </a:prstGeom>
                    <a:noFill/>
                    <a:ln>
                      <a:noFill/>
                    </a:ln>
                  </pic:spPr>
                </pic:pic>
              </a:graphicData>
            </a:graphic>
          </wp:inline>
        </w:drawing>
      </w:r>
    </w:p>
    <w:p>
      <w:pPr>
        <w:pStyle w:val="8"/>
        <w:numPr>
          <w:ilvl w:val="0"/>
          <w:numId w:val="0"/>
        </w:numPr>
        <w:spacing w:line="360" w:lineRule="auto"/>
        <w:jc w:val="center"/>
        <w:rPr>
          <w:rFonts w:hint="eastAsia" w:asciiTheme="minorEastAsia" w:hAnsiTheme="minorEastAsia" w:eastAsiaTheme="minorEastAsia" w:cstheme="minorEastAsia"/>
          <w:b/>
          <w:bCs/>
          <w:kern w:val="2"/>
          <w:sz w:val="21"/>
          <w:szCs w:val="21"/>
          <w:lang w:val="en-US" w:eastAsia="zh-CN" w:bidi="ar-SA"/>
        </w:rPr>
      </w:pPr>
      <w:bookmarkStart w:id="337" w:name="_Toc23442277"/>
      <w:r>
        <w:rPr>
          <w:rFonts w:hint="eastAsia" w:asciiTheme="minorEastAsia" w:hAnsiTheme="minorEastAsia" w:eastAsiaTheme="minorEastAsia" w:cstheme="minorEastAsia"/>
          <w:b/>
          <w:bCs/>
          <w:kern w:val="2"/>
          <w:sz w:val="21"/>
          <w:szCs w:val="21"/>
          <w:lang w:val="en-US" w:eastAsia="zh-CN" w:bidi="ar-SA"/>
        </w:rPr>
        <w:t>图 3-3毕业生在海南就业的变化趋势</w:t>
      </w:r>
      <w:bookmarkEnd w:id="337"/>
    </w:p>
    <w:p>
      <w:pPr>
        <w:jc w:val="left"/>
        <w:rPr>
          <w:rFonts w:hint="eastAsia" w:asciiTheme="minorEastAsia" w:hAnsiTheme="minorEastAsia" w:eastAsiaTheme="minorEastAsia" w:cstheme="minorEastAsia"/>
          <w:color w:val="000000"/>
          <w:sz w:val="21"/>
          <w:szCs w:val="32"/>
        </w:rPr>
      </w:pPr>
      <w:r>
        <w:rPr>
          <w:rFonts w:hint="eastAsia" w:asciiTheme="minorEastAsia" w:hAnsiTheme="minorEastAsia" w:eastAsiaTheme="minorEastAsia" w:cstheme="minorEastAsia"/>
          <w:color w:val="000000"/>
          <w:sz w:val="21"/>
          <w:szCs w:val="32"/>
        </w:rPr>
        <w:t>数据来源：麦可思-海南外国语职业学院2019届毕业生培养质量评价数据。</w:t>
      </w:r>
    </w:p>
    <w:p>
      <w:pPr>
        <w:rPr>
          <w:rFonts w:ascii="Calibri" w:hAnsi="Calibri"/>
        </w:rPr>
      </w:pPr>
    </w:p>
    <w:bookmarkEnd w:id="335"/>
    <w:p>
      <w:pPr>
        <w:pStyle w:val="8"/>
        <w:numPr>
          <w:ilvl w:val="0"/>
          <w:numId w:val="0"/>
        </w:numPr>
        <w:spacing w:line="360" w:lineRule="auto"/>
        <w:jc w:val="center"/>
        <w:rPr>
          <w:rFonts w:hint="eastAsia" w:asciiTheme="minorEastAsia" w:hAnsiTheme="minorEastAsia" w:eastAsiaTheme="minorEastAsia" w:cstheme="minorEastAsia"/>
          <w:b/>
          <w:bCs/>
          <w:kern w:val="2"/>
          <w:sz w:val="21"/>
          <w:szCs w:val="21"/>
          <w:lang w:val="en-US" w:eastAsia="zh-CN" w:bidi="ar-SA"/>
        </w:rPr>
      </w:pPr>
      <w:bookmarkStart w:id="338" w:name="_Toc463870848"/>
      <w:bookmarkStart w:id="339" w:name="_Toc23442278"/>
      <w:bookmarkStart w:id="340" w:name="itb_170"/>
    </w:p>
    <w:p>
      <w:pPr>
        <w:pStyle w:val="8"/>
        <w:numPr>
          <w:ilvl w:val="0"/>
          <w:numId w:val="0"/>
        </w:numPr>
        <w:spacing w:line="360" w:lineRule="auto"/>
        <w:jc w:val="center"/>
        <w:rPr>
          <w:rFonts w:hint="eastAsia" w:asciiTheme="minorEastAsia" w:hAnsiTheme="minorEastAsia" w:eastAsiaTheme="minorEastAsia" w:cstheme="minorEastAsia"/>
          <w:b/>
          <w:bCs/>
          <w:kern w:val="2"/>
          <w:sz w:val="21"/>
          <w:szCs w:val="21"/>
          <w:lang w:val="en-US" w:eastAsia="zh-CN" w:bidi="ar-SA"/>
        </w:rPr>
      </w:pPr>
      <w:r>
        <w:rPr>
          <w:rFonts w:hint="eastAsia" w:asciiTheme="minorEastAsia" w:hAnsiTheme="minorEastAsia" w:eastAsiaTheme="minorEastAsia" w:cstheme="minorEastAsia"/>
          <w:b/>
          <w:bCs/>
          <w:kern w:val="2"/>
          <w:sz w:val="21"/>
          <w:szCs w:val="21"/>
          <w:lang w:val="en-US" w:eastAsia="zh-CN" w:bidi="ar-SA"/>
        </w:rPr>
        <w:t>表 3-3毕业生主要就业城市变化趋势</w:t>
      </w:r>
      <w:bookmarkEnd w:id="338"/>
      <w:bookmarkEnd w:id="339"/>
    </w:p>
    <w:tbl>
      <w:tblPr>
        <w:tblStyle w:val="14"/>
        <w:tblW w:w="8890" w:type="dxa"/>
        <w:tblInd w:w="0" w:type="dxa"/>
        <w:tblLayout w:type="fixed"/>
        <w:tblCellMar>
          <w:top w:w="0" w:type="dxa"/>
          <w:left w:w="108" w:type="dxa"/>
          <w:bottom w:w="0" w:type="dxa"/>
          <w:right w:w="108" w:type="dxa"/>
        </w:tblCellMar>
      </w:tblPr>
      <w:tblGrid>
        <w:gridCol w:w="1350"/>
        <w:gridCol w:w="1885"/>
        <w:gridCol w:w="1885"/>
        <w:gridCol w:w="1885"/>
        <w:gridCol w:w="1885"/>
      </w:tblGrid>
      <w:tr>
        <w:tblPrEx>
          <w:tblCellMar>
            <w:top w:w="0" w:type="dxa"/>
            <w:left w:w="108" w:type="dxa"/>
            <w:bottom w:w="0" w:type="dxa"/>
            <w:right w:w="108" w:type="dxa"/>
          </w:tblCellMar>
        </w:tblPrEx>
        <w:trPr>
          <w:trHeight w:val="270" w:hRule="atLeast"/>
          <w:tblHeader/>
        </w:trPr>
        <w:tc>
          <w:tcPr>
            <w:tcW w:w="1350" w:type="dxa"/>
            <w:tcBorders>
              <w:top w:val="nil"/>
              <w:left w:val="nil"/>
              <w:bottom w:val="nil"/>
              <w:right w:val="single" w:color="FFFFFF" w:sz="12" w:space="0"/>
            </w:tcBorders>
            <w:shd w:val="clear" w:color="000000" w:fill="2350A0"/>
            <w:noWrap/>
            <w:vAlign w:val="center"/>
          </w:tcPr>
          <w:p>
            <w:pPr>
              <w:widowControl/>
              <w:spacing w:line="320" w:lineRule="exact"/>
              <w:jc w:val="center"/>
              <w:rPr>
                <w:rFonts w:ascii="Calibri" w:hAnsi="Calibri"/>
                <w:b/>
                <w:bCs/>
                <w:color w:val="FFFFFF"/>
                <w:kern w:val="0"/>
                <w:sz w:val="20"/>
                <w:szCs w:val="20"/>
              </w:rPr>
            </w:pPr>
            <w:r>
              <w:rPr>
                <w:rFonts w:hint="eastAsia" w:ascii="Calibri" w:hAnsi="Calibri"/>
                <w:b/>
                <w:bCs/>
                <w:color w:val="FFFFFF"/>
                <w:sz w:val="20"/>
                <w:szCs w:val="20"/>
              </w:rPr>
              <w:t>就业城市</w:t>
            </w:r>
          </w:p>
        </w:tc>
        <w:tc>
          <w:tcPr>
            <w:tcW w:w="1885" w:type="dxa"/>
            <w:tcBorders>
              <w:top w:val="nil"/>
              <w:left w:val="nil"/>
              <w:bottom w:val="nil"/>
              <w:right w:val="single" w:color="FFFFFF" w:sz="12" w:space="0"/>
            </w:tcBorders>
            <w:shd w:val="clear" w:color="000000" w:fill="2350A0"/>
            <w:noWrap/>
            <w:vAlign w:val="center"/>
          </w:tcPr>
          <w:p>
            <w:pPr>
              <w:spacing w:line="320" w:lineRule="exact"/>
              <w:jc w:val="center"/>
              <w:rPr>
                <w:rFonts w:hint="eastAsia" w:ascii="Calibri" w:hAnsi="Calibri"/>
                <w:b/>
                <w:bCs/>
                <w:color w:val="FFFFFF"/>
                <w:sz w:val="20"/>
                <w:szCs w:val="20"/>
              </w:rPr>
            </w:pPr>
            <w:r>
              <w:rPr>
                <w:rFonts w:hint="eastAsia" w:ascii="Calibri" w:hAnsi="Calibri"/>
                <w:b/>
                <w:bCs/>
                <w:color w:val="FFFFFF"/>
                <w:sz w:val="20"/>
                <w:szCs w:val="20"/>
              </w:rPr>
              <w:t>2016届（%）</w:t>
            </w:r>
          </w:p>
        </w:tc>
        <w:tc>
          <w:tcPr>
            <w:tcW w:w="1885" w:type="dxa"/>
            <w:tcBorders>
              <w:top w:val="nil"/>
              <w:left w:val="nil"/>
              <w:bottom w:val="nil"/>
              <w:right w:val="single" w:color="FFFFFF" w:sz="12" w:space="0"/>
            </w:tcBorders>
            <w:shd w:val="clear" w:color="000000" w:fill="2350A0"/>
            <w:noWrap/>
            <w:vAlign w:val="center"/>
          </w:tcPr>
          <w:p>
            <w:pPr>
              <w:spacing w:line="320" w:lineRule="exact"/>
              <w:jc w:val="center"/>
              <w:rPr>
                <w:rFonts w:hint="eastAsia" w:ascii="Calibri" w:hAnsi="Calibri"/>
                <w:b/>
                <w:bCs/>
                <w:color w:val="FFFFFF"/>
                <w:sz w:val="20"/>
                <w:szCs w:val="20"/>
              </w:rPr>
            </w:pPr>
            <w:r>
              <w:rPr>
                <w:rFonts w:hint="eastAsia" w:ascii="Calibri" w:hAnsi="Calibri"/>
                <w:b/>
                <w:bCs/>
                <w:color w:val="FFFFFF"/>
                <w:sz w:val="20"/>
                <w:szCs w:val="20"/>
              </w:rPr>
              <w:t>2017届（%）</w:t>
            </w:r>
          </w:p>
        </w:tc>
        <w:tc>
          <w:tcPr>
            <w:tcW w:w="1885" w:type="dxa"/>
            <w:tcBorders>
              <w:top w:val="nil"/>
              <w:left w:val="nil"/>
              <w:bottom w:val="nil"/>
              <w:right w:val="single" w:color="FFFFFF" w:sz="12" w:space="0"/>
            </w:tcBorders>
            <w:shd w:val="clear" w:color="000000" w:fill="2350A0"/>
            <w:noWrap/>
            <w:vAlign w:val="center"/>
          </w:tcPr>
          <w:p>
            <w:pPr>
              <w:spacing w:line="320" w:lineRule="exact"/>
              <w:jc w:val="center"/>
              <w:rPr>
                <w:rFonts w:hint="eastAsia" w:ascii="Calibri" w:hAnsi="Calibri"/>
                <w:b/>
                <w:bCs/>
                <w:color w:val="FFFFFF"/>
                <w:sz w:val="20"/>
                <w:szCs w:val="20"/>
              </w:rPr>
            </w:pPr>
            <w:r>
              <w:rPr>
                <w:rFonts w:hint="eastAsia" w:ascii="Calibri" w:hAnsi="Calibri"/>
                <w:b/>
                <w:bCs/>
                <w:color w:val="FFFFFF"/>
                <w:sz w:val="20"/>
                <w:szCs w:val="20"/>
              </w:rPr>
              <w:t>2018届（%）</w:t>
            </w:r>
          </w:p>
        </w:tc>
        <w:tc>
          <w:tcPr>
            <w:tcW w:w="1885" w:type="dxa"/>
            <w:tcBorders>
              <w:top w:val="nil"/>
              <w:left w:val="nil"/>
              <w:bottom w:val="nil"/>
              <w:right w:val="single" w:color="FFFFFF" w:sz="12" w:space="0"/>
            </w:tcBorders>
            <w:shd w:val="clear" w:color="000000" w:fill="2350A0"/>
            <w:noWrap/>
            <w:vAlign w:val="center"/>
          </w:tcPr>
          <w:p>
            <w:pPr>
              <w:spacing w:line="320" w:lineRule="exact"/>
              <w:jc w:val="center"/>
              <w:rPr>
                <w:rFonts w:hint="eastAsia" w:ascii="Calibri" w:hAnsi="Calibri"/>
                <w:b/>
                <w:bCs/>
                <w:color w:val="FFFFFF"/>
                <w:sz w:val="20"/>
                <w:szCs w:val="20"/>
              </w:rPr>
            </w:pPr>
            <w:r>
              <w:rPr>
                <w:rFonts w:hint="eastAsia" w:ascii="Calibri" w:hAnsi="Calibri"/>
                <w:b/>
                <w:bCs/>
                <w:color w:val="FFFFFF"/>
                <w:sz w:val="20"/>
                <w:szCs w:val="20"/>
              </w:rPr>
              <w:t>2019届（%）</w:t>
            </w:r>
          </w:p>
        </w:tc>
      </w:tr>
      <w:tr>
        <w:tblPrEx>
          <w:tblCellMar>
            <w:top w:w="0" w:type="dxa"/>
            <w:left w:w="108" w:type="dxa"/>
            <w:bottom w:w="0" w:type="dxa"/>
            <w:right w:w="108" w:type="dxa"/>
          </w:tblCellMar>
        </w:tblPrEx>
        <w:trPr>
          <w:trHeight w:val="270" w:hRule="atLeast"/>
        </w:trPr>
        <w:tc>
          <w:tcPr>
            <w:tcW w:w="1350" w:type="dxa"/>
            <w:tcBorders>
              <w:top w:val="nil"/>
              <w:left w:val="nil"/>
              <w:bottom w:val="nil"/>
              <w:right w:val="nil"/>
            </w:tcBorders>
            <w:shd w:val="clear" w:color="000000" w:fill="FFFFFF"/>
            <w:noWrap/>
            <w:vAlign w:val="center"/>
          </w:tcPr>
          <w:p>
            <w:pPr>
              <w:spacing w:line="320" w:lineRule="exact"/>
              <w:jc w:val="left"/>
              <w:rPr>
                <w:rFonts w:hint="eastAsia" w:ascii="Calibri" w:hAnsi="Calibri"/>
                <w:color w:val="000000"/>
                <w:sz w:val="20"/>
                <w:szCs w:val="20"/>
              </w:rPr>
            </w:pPr>
            <w:r>
              <w:rPr>
                <w:rFonts w:hint="eastAsia" w:ascii="Calibri" w:hAnsi="Calibri"/>
                <w:color w:val="000000"/>
                <w:sz w:val="20"/>
                <w:szCs w:val="20"/>
              </w:rPr>
              <w:t>海口</w:t>
            </w:r>
          </w:p>
        </w:tc>
        <w:tc>
          <w:tcPr>
            <w:tcW w:w="1885" w:type="dxa"/>
            <w:tcBorders>
              <w:top w:val="nil"/>
              <w:left w:val="nil"/>
              <w:bottom w:val="nil"/>
              <w:right w:val="nil"/>
            </w:tcBorders>
            <w:shd w:val="clear" w:color="000000" w:fill="FFFFFF"/>
            <w:noWrap/>
            <w:vAlign w:val="center"/>
          </w:tcPr>
          <w:p>
            <w:pPr>
              <w:spacing w:line="320" w:lineRule="exact"/>
              <w:jc w:val="center"/>
              <w:rPr>
                <w:rFonts w:hint="eastAsia" w:ascii="Calibri" w:hAnsi="Calibri"/>
                <w:color w:val="000000"/>
                <w:sz w:val="20"/>
                <w:szCs w:val="20"/>
              </w:rPr>
            </w:pPr>
            <w:r>
              <w:rPr>
                <w:rFonts w:hint="eastAsia" w:ascii="Calibri" w:hAnsi="Calibri"/>
                <w:color w:val="000000"/>
                <w:sz w:val="20"/>
                <w:szCs w:val="20"/>
              </w:rPr>
              <w:t>22.6</w:t>
            </w:r>
          </w:p>
        </w:tc>
        <w:tc>
          <w:tcPr>
            <w:tcW w:w="1885" w:type="dxa"/>
            <w:tcBorders>
              <w:top w:val="nil"/>
              <w:left w:val="nil"/>
              <w:bottom w:val="nil"/>
              <w:right w:val="nil"/>
            </w:tcBorders>
            <w:shd w:val="clear" w:color="000000" w:fill="FFFFFF"/>
            <w:noWrap/>
            <w:vAlign w:val="center"/>
          </w:tcPr>
          <w:p>
            <w:pPr>
              <w:spacing w:line="320" w:lineRule="exact"/>
              <w:jc w:val="center"/>
              <w:rPr>
                <w:rFonts w:hint="eastAsia" w:ascii="Calibri" w:hAnsi="Calibri"/>
                <w:color w:val="000000"/>
                <w:sz w:val="20"/>
                <w:szCs w:val="20"/>
              </w:rPr>
            </w:pPr>
            <w:r>
              <w:rPr>
                <w:rFonts w:hint="eastAsia" w:ascii="Calibri" w:hAnsi="Calibri"/>
                <w:color w:val="000000"/>
                <w:sz w:val="20"/>
                <w:szCs w:val="20"/>
              </w:rPr>
              <w:t>17.6</w:t>
            </w:r>
          </w:p>
        </w:tc>
        <w:tc>
          <w:tcPr>
            <w:tcW w:w="1885" w:type="dxa"/>
            <w:tcBorders>
              <w:top w:val="nil"/>
              <w:left w:val="nil"/>
              <w:bottom w:val="nil"/>
              <w:right w:val="nil"/>
            </w:tcBorders>
            <w:shd w:val="clear" w:color="000000" w:fill="FFFFFF"/>
            <w:noWrap/>
            <w:vAlign w:val="center"/>
          </w:tcPr>
          <w:p>
            <w:pPr>
              <w:spacing w:line="320" w:lineRule="exact"/>
              <w:jc w:val="center"/>
              <w:rPr>
                <w:rFonts w:hint="eastAsia" w:ascii="Calibri" w:hAnsi="Calibri"/>
                <w:color w:val="000000"/>
                <w:sz w:val="20"/>
                <w:szCs w:val="20"/>
              </w:rPr>
            </w:pPr>
            <w:r>
              <w:rPr>
                <w:rFonts w:hint="eastAsia" w:ascii="Calibri" w:hAnsi="Calibri"/>
                <w:color w:val="000000"/>
                <w:sz w:val="20"/>
                <w:szCs w:val="20"/>
              </w:rPr>
              <w:t>22.3</w:t>
            </w:r>
          </w:p>
        </w:tc>
        <w:tc>
          <w:tcPr>
            <w:tcW w:w="1885" w:type="dxa"/>
            <w:tcBorders>
              <w:top w:val="nil"/>
              <w:left w:val="nil"/>
              <w:bottom w:val="nil"/>
              <w:right w:val="nil"/>
            </w:tcBorders>
            <w:shd w:val="clear" w:color="000000" w:fill="FFFFFF"/>
            <w:noWrap/>
            <w:vAlign w:val="center"/>
          </w:tcPr>
          <w:p>
            <w:pPr>
              <w:spacing w:line="320" w:lineRule="exact"/>
              <w:jc w:val="center"/>
              <w:rPr>
                <w:rFonts w:hint="eastAsia" w:ascii="Calibri" w:hAnsi="Calibri"/>
                <w:color w:val="000000"/>
                <w:sz w:val="20"/>
                <w:szCs w:val="20"/>
              </w:rPr>
            </w:pPr>
            <w:r>
              <w:rPr>
                <w:rFonts w:hint="eastAsia" w:ascii="Calibri" w:hAnsi="Calibri"/>
                <w:color w:val="000000"/>
                <w:sz w:val="20"/>
                <w:szCs w:val="20"/>
              </w:rPr>
              <w:t>22.4</w:t>
            </w:r>
          </w:p>
        </w:tc>
      </w:tr>
      <w:tr>
        <w:tblPrEx>
          <w:tblCellMar>
            <w:top w:w="0" w:type="dxa"/>
            <w:left w:w="108" w:type="dxa"/>
            <w:bottom w:w="0" w:type="dxa"/>
            <w:right w:w="108" w:type="dxa"/>
          </w:tblCellMar>
        </w:tblPrEx>
        <w:trPr>
          <w:trHeight w:val="270" w:hRule="atLeast"/>
        </w:trPr>
        <w:tc>
          <w:tcPr>
            <w:tcW w:w="1350" w:type="dxa"/>
            <w:tcBorders>
              <w:top w:val="nil"/>
              <w:left w:val="nil"/>
              <w:bottom w:val="nil"/>
              <w:right w:val="nil"/>
            </w:tcBorders>
            <w:shd w:val="clear" w:color="000000" w:fill="BEEDF8"/>
            <w:noWrap/>
            <w:vAlign w:val="center"/>
          </w:tcPr>
          <w:p>
            <w:pPr>
              <w:spacing w:line="320" w:lineRule="exact"/>
              <w:jc w:val="left"/>
              <w:rPr>
                <w:rFonts w:hint="eastAsia" w:ascii="Calibri" w:hAnsi="Calibri"/>
                <w:color w:val="000000"/>
                <w:sz w:val="20"/>
                <w:szCs w:val="20"/>
              </w:rPr>
            </w:pPr>
            <w:r>
              <w:rPr>
                <w:rFonts w:hint="eastAsia" w:ascii="Calibri" w:hAnsi="Calibri"/>
                <w:color w:val="000000"/>
                <w:sz w:val="20"/>
                <w:szCs w:val="20"/>
              </w:rPr>
              <w:t>深圳</w:t>
            </w:r>
          </w:p>
        </w:tc>
        <w:tc>
          <w:tcPr>
            <w:tcW w:w="1885" w:type="dxa"/>
            <w:tcBorders>
              <w:top w:val="nil"/>
              <w:left w:val="nil"/>
              <w:bottom w:val="nil"/>
              <w:right w:val="nil"/>
            </w:tcBorders>
            <w:shd w:val="clear" w:color="000000" w:fill="BEEDF8"/>
            <w:noWrap/>
            <w:vAlign w:val="center"/>
          </w:tcPr>
          <w:p>
            <w:pPr>
              <w:spacing w:line="320" w:lineRule="exact"/>
              <w:jc w:val="center"/>
              <w:rPr>
                <w:rFonts w:hint="eastAsia" w:ascii="Calibri" w:hAnsi="Calibri"/>
                <w:color w:val="000000"/>
                <w:sz w:val="20"/>
                <w:szCs w:val="20"/>
              </w:rPr>
            </w:pPr>
            <w:bookmarkStart w:id="341" w:name="_Hlk23350264"/>
            <w:r>
              <w:rPr>
                <w:rFonts w:hint="eastAsia" w:ascii="Calibri" w:hAnsi="Calibri"/>
                <w:color w:val="000000"/>
                <w:sz w:val="20"/>
                <w:szCs w:val="20"/>
              </w:rPr>
              <w:t>9.0</w:t>
            </w:r>
            <w:bookmarkEnd w:id="341"/>
          </w:p>
        </w:tc>
        <w:tc>
          <w:tcPr>
            <w:tcW w:w="1885" w:type="dxa"/>
            <w:tcBorders>
              <w:top w:val="nil"/>
              <w:left w:val="nil"/>
              <w:bottom w:val="nil"/>
              <w:right w:val="nil"/>
            </w:tcBorders>
            <w:shd w:val="clear" w:color="000000" w:fill="BEEDF8"/>
            <w:noWrap/>
            <w:vAlign w:val="center"/>
          </w:tcPr>
          <w:p>
            <w:pPr>
              <w:spacing w:line="320" w:lineRule="exact"/>
              <w:jc w:val="center"/>
              <w:rPr>
                <w:rFonts w:hint="eastAsia" w:ascii="Calibri" w:hAnsi="Calibri"/>
                <w:color w:val="000000"/>
                <w:sz w:val="20"/>
                <w:szCs w:val="20"/>
              </w:rPr>
            </w:pPr>
            <w:r>
              <w:rPr>
                <w:rFonts w:hint="eastAsia" w:ascii="Calibri" w:hAnsi="Calibri"/>
                <w:color w:val="000000"/>
                <w:sz w:val="20"/>
                <w:szCs w:val="20"/>
              </w:rPr>
              <w:t>12.1</w:t>
            </w:r>
          </w:p>
        </w:tc>
        <w:tc>
          <w:tcPr>
            <w:tcW w:w="1885" w:type="dxa"/>
            <w:tcBorders>
              <w:top w:val="nil"/>
              <w:left w:val="nil"/>
              <w:bottom w:val="nil"/>
              <w:right w:val="nil"/>
            </w:tcBorders>
            <w:shd w:val="clear" w:color="000000" w:fill="BEEDF8"/>
            <w:noWrap/>
            <w:vAlign w:val="center"/>
          </w:tcPr>
          <w:p>
            <w:pPr>
              <w:spacing w:line="320" w:lineRule="exact"/>
              <w:jc w:val="center"/>
              <w:rPr>
                <w:rFonts w:hint="eastAsia" w:ascii="Calibri" w:hAnsi="Calibri"/>
                <w:color w:val="000000"/>
                <w:sz w:val="20"/>
                <w:szCs w:val="20"/>
              </w:rPr>
            </w:pPr>
            <w:r>
              <w:rPr>
                <w:rFonts w:hint="eastAsia" w:ascii="Calibri" w:hAnsi="Calibri"/>
                <w:color w:val="000000"/>
                <w:sz w:val="20"/>
                <w:szCs w:val="20"/>
              </w:rPr>
              <w:t>8.9</w:t>
            </w:r>
          </w:p>
        </w:tc>
        <w:tc>
          <w:tcPr>
            <w:tcW w:w="1885" w:type="dxa"/>
            <w:tcBorders>
              <w:top w:val="nil"/>
              <w:left w:val="nil"/>
              <w:bottom w:val="nil"/>
              <w:right w:val="nil"/>
            </w:tcBorders>
            <w:shd w:val="clear" w:color="000000" w:fill="BEEDF8"/>
            <w:noWrap/>
            <w:vAlign w:val="center"/>
          </w:tcPr>
          <w:p>
            <w:pPr>
              <w:spacing w:line="320" w:lineRule="exact"/>
              <w:jc w:val="center"/>
              <w:rPr>
                <w:rFonts w:hint="eastAsia" w:ascii="Calibri" w:hAnsi="Calibri"/>
                <w:color w:val="000000"/>
                <w:sz w:val="20"/>
                <w:szCs w:val="20"/>
              </w:rPr>
            </w:pPr>
            <w:r>
              <w:rPr>
                <w:rFonts w:hint="eastAsia" w:ascii="Calibri" w:hAnsi="Calibri"/>
                <w:color w:val="000000"/>
                <w:sz w:val="20"/>
                <w:szCs w:val="20"/>
              </w:rPr>
              <w:t>16.0</w:t>
            </w:r>
          </w:p>
        </w:tc>
      </w:tr>
      <w:tr>
        <w:tblPrEx>
          <w:tblCellMar>
            <w:top w:w="0" w:type="dxa"/>
            <w:left w:w="108" w:type="dxa"/>
            <w:bottom w:w="0" w:type="dxa"/>
            <w:right w:w="108" w:type="dxa"/>
          </w:tblCellMar>
        </w:tblPrEx>
        <w:trPr>
          <w:trHeight w:val="285" w:hRule="atLeast"/>
        </w:trPr>
        <w:tc>
          <w:tcPr>
            <w:tcW w:w="1350" w:type="dxa"/>
            <w:tcBorders>
              <w:top w:val="nil"/>
              <w:left w:val="nil"/>
              <w:bottom w:val="single" w:color="57B8E7" w:sz="12" w:space="0"/>
              <w:right w:val="nil"/>
            </w:tcBorders>
            <w:shd w:val="clear" w:color="000000" w:fill="FFFFFF"/>
            <w:noWrap/>
            <w:vAlign w:val="center"/>
          </w:tcPr>
          <w:p>
            <w:pPr>
              <w:spacing w:line="320" w:lineRule="exact"/>
              <w:jc w:val="left"/>
              <w:rPr>
                <w:rFonts w:hint="eastAsia" w:ascii="Calibri" w:hAnsi="Calibri"/>
                <w:color w:val="000000"/>
                <w:sz w:val="20"/>
                <w:szCs w:val="20"/>
              </w:rPr>
            </w:pPr>
            <w:r>
              <w:rPr>
                <w:rFonts w:hint="eastAsia" w:ascii="Calibri" w:hAnsi="Calibri"/>
                <w:color w:val="000000"/>
                <w:sz w:val="20"/>
                <w:szCs w:val="20"/>
              </w:rPr>
              <w:t>三亚</w:t>
            </w:r>
          </w:p>
        </w:tc>
        <w:tc>
          <w:tcPr>
            <w:tcW w:w="1885" w:type="dxa"/>
            <w:tcBorders>
              <w:top w:val="nil"/>
              <w:left w:val="nil"/>
              <w:bottom w:val="single" w:color="57B8E7" w:sz="12" w:space="0"/>
              <w:right w:val="nil"/>
            </w:tcBorders>
            <w:shd w:val="clear" w:color="000000" w:fill="FFFFFF"/>
            <w:noWrap/>
            <w:vAlign w:val="center"/>
          </w:tcPr>
          <w:p>
            <w:pPr>
              <w:spacing w:line="320" w:lineRule="exact"/>
              <w:jc w:val="center"/>
              <w:rPr>
                <w:rFonts w:hint="eastAsia" w:ascii="Calibri" w:hAnsi="Calibri"/>
                <w:color w:val="000000"/>
                <w:sz w:val="20"/>
                <w:szCs w:val="20"/>
              </w:rPr>
            </w:pPr>
            <w:r>
              <w:rPr>
                <w:rFonts w:hint="eastAsia" w:ascii="Calibri" w:hAnsi="Calibri"/>
                <w:color w:val="000000"/>
                <w:sz w:val="20"/>
                <w:szCs w:val="20"/>
              </w:rPr>
              <w:t>11.5</w:t>
            </w:r>
          </w:p>
        </w:tc>
        <w:tc>
          <w:tcPr>
            <w:tcW w:w="1885" w:type="dxa"/>
            <w:tcBorders>
              <w:top w:val="nil"/>
              <w:left w:val="nil"/>
              <w:bottom w:val="single" w:color="57B8E7" w:sz="12" w:space="0"/>
              <w:right w:val="nil"/>
            </w:tcBorders>
            <w:shd w:val="clear" w:color="000000" w:fill="FFFFFF"/>
            <w:noWrap/>
            <w:vAlign w:val="center"/>
          </w:tcPr>
          <w:p>
            <w:pPr>
              <w:spacing w:line="320" w:lineRule="exact"/>
              <w:jc w:val="center"/>
              <w:rPr>
                <w:rFonts w:hint="eastAsia" w:ascii="Calibri" w:hAnsi="Calibri"/>
                <w:color w:val="000000"/>
                <w:sz w:val="20"/>
                <w:szCs w:val="20"/>
              </w:rPr>
            </w:pPr>
            <w:r>
              <w:rPr>
                <w:rFonts w:hint="eastAsia" w:ascii="Calibri" w:hAnsi="Calibri"/>
                <w:color w:val="000000"/>
                <w:sz w:val="20"/>
                <w:szCs w:val="20"/>
              </w:rPr>
              <w:t>13.7</w:t>
            </w:r>
          </w:p>
        </w:tc>
        <w:tc>
          <w:tcPr>
            <w:tcW w:w="1885" w:type="dxa"/>
            <w:tcBorders>
              <w:top w:val="nil"/>
              <w:left w:val="nil"/>
              <w:bottom w:val="single" w:color="57B8E7" w:sz="12" w:space="0"/>
              <w:right w:val="nil"/>
            </w:tcBorders>
            <w:shd w:val="clear" w:color="000000" w:fill="FFFFFF"/>
            <w:noWrap/>
            <w:vAlign w:val="center"/>
          </w:tcPr>
          <w:p>
            <w:pPr>
              <w:spacing w:line="320" w:lineRule="exact"/>
              <w:jc w:val="center"/>
              <w:rPr>
                <w:rFonts w:hint="eastAsia" w:ascii="Calibri" w:hAnsi="Calibri"/>
                <w:color w:val="000000"/>
                <w:sz w:val="20"/>
                <w:szCs w:val="20"/>
              </w:rPr>
            </w:pPr>
            <w:r>
              <w:rPr>
                <w:rFonts w:hint="eastAsia" w:ascii="Calibri" w:hAnsi="Calibri"/>
                <w:color w:val="000000"/>
                <w:sz w:val="20"/>
                <w:szCs w:val="20"/>
              </w:rPr>
              <w:t>14.7</w:t>
            </w:r>
          </w:p>
        </w:tc>
        <w:tc>
          <w:tcPr>
            <w:tcW w:w="1885" w:type="dxa"/>
            <w:tcBorders>
              <w:top w:val="nil"/>
              <w:left w:val="nil"/>
              <w:bottom w:val="single" w:color="57B8E7" w:sz="12" w:space="0"/>
              <w:right w:val="nil"/>
            </w:tcBorders>
            <w:shd w:val="clear" w:color="000000" w:fill="FFFFFF"/>
            <w:noWrap/>
            <w:vAlign w:val="center"/>
          </w:tcPr>
          <w:p>
            <w:pPr>
              <w:spacing w:line="320" w:lineRule="exact"/>
              <w:jc w:val="center"/>
              <w:rPr>
                <w:rFonts w:hint="eastAsia" w:ascii="Calibri" w:hAnsi="Calibri"/>
                <w:color w:val="000000"/>
                <w:sz w:val="20"/>
                <w:szCs w:val="20"/>
              </w:rPr>
            </w:pPr>
            <w:r>
              <w:rPr>
                <w:rFonts w:hint="eastAsia" w:ascii="Calibri" w:hAnsi="Calibri"/>
                <w:color w:val="000000"/>
                <w:sz w:val="20"/>
                <w:szCs w:val="20"/>
              </w:rPr>
              <w:t>13.8</w:t>
            </w:r>
          </w:p>
        </w:tc>
      </w:tr>
    </w:tbl>
    <w:p>
      <w:pPr>
        <w:jc w:val="left"/>
        <w:rPr>
          <w:rFonts w:hint="eastAsia" w:asciiTheme="minorEastAsia" w:hAnsiTheme="minorEastAsia" w:eastAsiaTheme="minorEastAsia" w:cstheme="minorEastAsia"/>
          <w:color w:val="000000"/>
          <w:sz w:val="21"/>
          <w:szCs w:val="32"/>
        </w:rPr>
      </w:pPr>
      <w:r>
        <w:rPr>
          <w:rFonts w:hint="eastAsia" w:asciiTheme="minorEastAsia" w:hAnsiTheme="minorEastAsia" w:eastAsiaTheme="minorEastAsia" w:cstheme="minorEastAsia"/>
          <w:color w:val="000000"/>
          <w:sz w:val="21"/>
          <w:szCs w:val="32"/>
        </w:rPr>
        <w:t>数据来源：麦可思-海南外国语职业学院2019届毕业生培养质量评价数据。</w:t>
      </w:r>
    </w:p>
    <w:p>
      <w:pPr>
        <w:rPr>
          <w:rFonts w:hint="eastAsia" w:ascii="Calibri" w:hAnsi="Calibri"/>
        </w:rPr>
      </w:pPr>
    </w:p>
    <w:bookmarkEnd w:id="340"/>
    <w:p>
      <w:pPr>
        <w:pStyle w:val="8"/>
        <w:numPr>
          <w:ilvl w:val="0"/>
          <w:numId w:val="7"/>
        </w:numPr>
        <w:spacing w:line="360" w:lineRule="auto"/>
        <w:ind w:left="420"/>
        <w:rPr>
          <w:rFonts w:eastAsia="宋体"/>
        </w:rPr>
        <w:sectPr>
          <w:footnotePr>
            <w:numRestart w:val="eachPage"/>
          </w:footnotePr>
          <w:pgSz w:w="11906" w:h="16838"/>
          <w:pgMar w:top="1985" w:right="1531" w:bottom="1701" w:left="1701" w:header="964" w:footer="851" w:gutter="0"/>
          <w:pgNumType w:fmt="decimal"/>
          <w:cols w:space="425" w:num="1"/>
          <w:docGrid w:linePitch="312" w:charSpace="0"/>
        </w:sectPr>
      </w:pPr>
    </w:p>
    <w:bookmarkEnd w:id="304"/>
    <w:bookmarkEnd w:id="336"/>
    <w:p>
      <w:pPr>
        <w:pStyle w:val="3"/>
        <w:bidi w:val="0"/>
        <w:ind w:left="0" w:leftChars="0" w:firstLine="0" w:firstLineChars="0"/>
      </w:pPr>
      <w:bookmarkStart w:id="342" w:name="_Toc23434192"/>
      <w:bookmarkStart w:id="343" w:name="_Toc24963"/>
      <w:r>
        <w:rPr>
          <w:rFonts w:hint="eastAsia"/>
        </w:rPr>
        <w:t>就业质量变化趋势</w:t>
      </w:r>
      <w:bookmarkEnd w:id="342"/>
      <w:bookmarkEnd w:id="343"/>
    </w:p>
    <w:p>
      <w:pPr>
        <w:pStyle w:val="4"/>
        <w:bidi w:val="0"/>
        <w:ind w:left="0" w:leftChars="0" w:firstLine="400" w:firstLineChars="0"/>
        <w:rPr>
          <w:rFonts w:hint="eastAsia"/>
        </w:rPr>
      </w:pPr>
      <w:bookmarkStart w:id="344" w:name="_Toc23434193"/>
      <w:bookmarkStart w:id="345" w:name="_Toc14544"/>
      <w:bookmarkStart w:id="346" w:name="icb_94"/>
      <w:bookmarkStart w:id="347" w:name="pb_46"/>
      <w:r>
        <w:rPr>
          <w:rFonts w:hint="eastAsia"/>
        </w:rPr>
        <w:t>月收入变化趋势</w:t>
      </w:r>
      <w:bookmarkEnd w:id="344"/>
      <w:bookmarkEnd w:id="345"/>
    </w:p>
    <w:p>
      <w:pPr>
        <w:pStyle w:val="7"/>
        <w:bidi w:val="0"/>
      </w:pPr>
      <w:r>
        <w:rPr>
          <w:rFonts w:hint="eastAsia"/>
        </w:rPr>
        <w:t>本校毕业生的月收入整体呈上升趋势。2019届毕业生的月收入为3976元，比2018届（3730元）高246元。</w:t>
      </w:r>
    </w:p>
    <w:p>
      <w:pPr>
        <w:jc w:val="center"/>
        <w:rPr>
          <w:rFonts w:hint="eastAsia" w:ascii="Calibri" w:hAnsi="Calibri"/>
        </w:rPr>
      </w:pPr>
      <w:r>
        <w:rPr>
          <w:rFonts w:ascii="Calibri" w:hAnsi="Calibri"/>
        </w:rPr>
        <w:drawing>
          <wp:inline distT="0" distB="0" distL="114300" distR="114300">
            <wp:extent cx="5210175" cy="2514600"/>
            <wp:effectExtent l="0" t="0" r="0" b="0"/>
            <wp:docPr id="90"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图片 17"/>
                    <pic:cNvPicPr>
                      <a:picLocks noChangeAspect="1"/>
                    </pic:cNvPicPr>
                  </pic:nvPicPr>
                  <pic:blipFill>
                    <a:blip r:embed="rId57"/>
                    <a:stretch>
                      <a:fillRect/>
                    </a:stretch>
                  </pic:blipFill>
                  <pic:spPr>
                    <a:xfrm>
                      <a:off x="0" y="0"/>
                      <a:ext cx="5210175" cy="2514600"/>
                    </a:xfrm>
                    <a:prstGeom prst="rect">
                      <a:avLst/>
                    </a:prstGeom>
                    <a:noFill/>
                    <a:ln>
                      <a:noFill/>
                    </a:ln>
                  </pic:spPr>
                </pic:pic>
              </a:graphicData>
            </a:graphic>
          </wp:inline>
        </w:drawing>
      </w:r>
    </w:p>
    <w:p>
      <w:pPr>
        <w:pStyle w:val="8"/>
        <w:numPr>
          <w:ilvl w:val="0"/>
          <w:numId w:val="0"/>
        </w:numPr>
        <w:spacing w:line="360" w:lineRule="auto"/>
        <w:jc w:val="center"/>
        <w:rPr>
          <w:rFonts w:hint="eastAsia" w:asciiTheme="minorEastAsia" w:hAnsiTheme="minorEastAsia" w:eastAsiaTheme="minorEastAsia" w:cstheme="minorEastAsia"/>
          <w:b/>
          <w:bCs/>
          <w:kern w:val="2"/>
          <w:sz w:val="21"/>
          <w:szCs w:val="21"/>
          <w:lang w:val="en-US" w:eastAsia="zh-CN" w:bidi="ar-SA"/>
        </w:rPr>
      </w:pPr>
      <w:bookmarkStart w:id="348" w:name="_Toc23442279"/>
      <w:r>
        <w:rPr>
          <w:rFonts w:hint="eastAsia" w:asciiTheme="minorEastAsia" w:hAnsiTheme="minorEastAsia" w:eastAsiaTheme="minorEastAsia" w:cstheme="minorEastAsia"/>
          <w:b/>
          <w:bCs/>
          <w:kern w:val="2"/>
          <w:sz w:val="21"/>
          <w:szCs w:val="21"/>
          <w:lang w:val="en-US" w:eastAsia="zh-CN" w:bidi="ar-SA"/>
        </w:rPr>
        <w:t>图 3-4月收入变化趋势</w:t>
      </w:r>
      <w:bookmarkEnd w:id="348"/>
    </w:p>
    <w:p>
      <w:pPr>
        <w:jc w:val="left"/>
        <w:rPr>
          <w:rFonts w:hint="eastAsia" w:asciiTheme="minorEastAsia" w:hAnsiTheme="minorEastAsia" w:eastAsiaTheme="minorEastAsia" w:cstheme="minorEastAsia"/>
          <w:color w:val="000000"/>
          <w:sz w:val="21"/>
          <w:szCs w:val="32"/>
        </w:rPr>
      </w:pPr>
      <w:r>
        <w:rPr>
          <w:rFonts w:hint="eastAsia" w:asciiTheme="minorEastAsia" w:hAnsiTheme="minorEastAsia" w:eastAsiaTheme="minorEastAsia" w:cstheme="minorEastAsia"/>
          <w:color w:val="000000"/>
          <w:sz w:val="21"/>
          <w:szCs w:val="32"/>
        </w:rPr>
        <w:t>数据来源：麦可思-海南外国语职业学院2019届毕业生培养质量评价数据。</w:t>
      </w:r>
    </w:p>
    <w:p>
      <w:pPr>
        <w:spacing w:line="240" w:lineRule="auto"/>
        <w:jc w:val="left"/>
        <w:rPr>
          <w:rFonts w:ascii="Calibri" w:hAnsi="Calibri" w:cs="Arial"/>
          <w:kern w:val="0"/>
          <w:sz w:val="18"/>
          <w:szCs w:val="18"/>
        </w:rPr>
      </w:pPr>
    </w:p>
    <w:bookmarkEnd w:id="346"/>
    <w:p>
      <w:pPr>
        <w:spacing w:line="240" w:lineRule="auto"/>
        <w:jc w:val="left"/>
        <w:rPr>
          <w:rFonts w:ascii="Calibri" w:hAnsi="Calibri" w:cs="Arial"/>
          <w:kern w:val="0"/>
          <w:sz w:val="18"/>
          <w:szCs w:val="18"/>
        </w:rPr>
        <w:sectPr>
          <w:footnotePr>
            <w:numRestart w:val="eachPage"/>
          </w:footnotePr>
          <w:pgSz w:w="11906" w:h="16838"/>
          <w:pgMar w:top="1985" w:right="1531" w:bottom="1701" w:left="1701" w:header="964" w:footer="851" w:gutter="0"/>
          <w:pgNumType w:fmt="decimal"/>
          <w:cols w:space="425" w:num="1"/>
          <w:docGrid w:linePitch="312" w:charSpace="0"/>
        </w:sectPr>
      </w:pPr>
    </w:p>
    <w:p>
      <w:pPr>
        <w:pStyle w:val="7"/>
        <w:bidi w:val="0"/>
        <w:rPr>
          <w:rFonts w:hint="eastAsia"/>
          <w:lang w:eastAsia="zh-CN"/>
        </w:rPr>
      </w:pPr>
      <w:bookmarkStart w:id="349" w:name="icb_95"/>
      <w:r>
        <w:rPr>
          <w:rFonts w:hint="eastAsia"/>
          <w:lang w:eastAsia="zh-CN"/>
        </w:rPr>
        <w:t>与2018届相比，本校2019届月收入上升较多的院系是英语系（3646元）、国际商务系（4190元）、西语系（4837元）。</w:t>
      </w:r>
    </w:p>
    <w:p>
      <w:pPr>
        <w:jc w:val="center"/>
        <w:rPr>
          <w:rFonts w:ascii="Calibri" w:hAnsi="Calibri"/>
        </w:rPr>
      </w:pPr>
      <w:r>
        <w:rPr>
          <w:rFonts w:ascii="Calibri" w:hAnsi="Calibri"/>
        </w:rPr>
        <w:drawing>
          <wp:inline distT="0" distB="0" distL="114300" distR="114300">
            <wp:extent cx="5210175" cy="4152900"/>
            <wp:effectExtent l="0" t="0" r="0" b="0"/>
            <wp:docPr id="92"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图片 18"/>
                    <pic:cNvPicPr>
                      <a:picLocks noChangeAspect="1"/>
                    </pic:cNvPicPr>
                  </pic:nvPicPr>
                  <pic:blipFill>
                    <a:blip r:embed="rId58"/>
                    <a:stretch>
                      <a:fillRect/>
                    </a:stretch>
                  </pic:blipFill>
                  <pic:spPr>
                    <a:xfrm>
                      <a:off x="0" y="0"/>
                      <a:ext cx="5210175" cy="4152900"/>
                    </a:xfrm>
                    <a:prstGeom prst="rect">
                      <a:avLst/>
                    </a:prstGeom>
                    <a:noFill/>
                    <a:ln>
                      <a:noFill/>
                    </a:ln>
                  </pic:spPr>
                </pic:pic>
              </a:graphicData>
            </a:graphic>
          </wp:inline>
        </w:drawing>
      </w:r>
    </w:p>
    <w:p>
      <w:pPr>
        <w:pStyle w:val="8"/>
        <w:numPr>
          <w:ilvl w:val="0"/>
          <w:numId w:val="0"/>
        </w:numPr>
        <w:spacing w:line="360" w:lineRule="auto"/>
        <w:jc w:val="center"/>
        <w:rPr>
          <w:rFonts w:hint="eastAsia" w:asciiTheme="minorEastAsia" w:hAnsiTheme="minorEastAsia" w:eastAsiaTheme="minorEastAsia" w:cstheme="minorEastAsia"/>
          <w:b/>
          <w:bCs/>
          <w:kern w:val="2"/>
          <w:sz w:val="21"/>
          <w:szCs w:val="21"/>
          <w:lang w:val="en-US" w:eastAsia="zh-CN" w:bidi="ar-SA"/>
        </w:rPr>
      </w:pPr>
      <w:bookmarkStart w:id="350" w:name="_Toc23442280"/>
      <w:r>
        <w:rPr>
          <w:rFonts w:hint="eastAsia" w:asciiTheme="minorEastAsia" w:hAnsiTheme="minorEastAsia" w:eastAsiaTheme="minorEastAsia" w:cstheme="minorEastAsia"/>
          <w:b/>
          <w:bCs/>
          <w:kern w:val="2"/>
          <w:sz w:val="21"/>
          <w:szCs w:val="21"/>
          <w:lang w:val="en-US" w:eastAsia="zh-CN" w:bidi="ar-SA"/>
        </w:rPr>
        <w:t>图 3-5各院系毕业生的月收入、与本校2018届对比</w:t>
      </w:r>
      <w:bookmarkEnd w:id="350"/>
    </w:p>
    <w:p>
      <w:pPr>
        <w:jc w:val="left"/>
        <w:rPr>
          <w:rFonts w:hint="eastAsia" w:asciiTheme="minorEastAsia" w:hAnsiTheme="minorEastAsia" w:eastAsiaTheme="minorEastAsia" w:cstheme="minorEastAsia"/>
          <w:color w:val="000000"/>
          <w:sz w:val="21"/>
          <w:szCs w:val="32"/>
        </w:rPr>
      </w:pPr>
      <w:r>
        <w:rPr>
          <w:rFonts w:hint="eastAsia" w:asciiTheme="minorEastAsia" w:hAnsiTheme="minorEastAsia" w:eastAsiaTheme="minorEastAsia" w:cstheme="minorEastAsia"/>
          <w:color w:val="000000"/>
          <w:sz w:val="21"/>
          <w:szCs w:val="32"/>
        </w:rPr>
        <w:t>注：个别院系因样本较少没有包括在内。</w:t>
      </w:r>
    </w:p>
    <w:p>
      <w:pPr>
        <w:jc w:val="left"/>
        <w:rPr>
          <w:rFonts w:hint="eastAsia" w:asciiTheme="minorEastAsia" w:hAnsiTheme="minorEastAsia" w:eastAsiaTheme="minorEastAsia" w:cstheme="minorEastAsia"/>
          <w:color w:val="000000"/>
          <w:sz w:val="21"/>
          <w:szCs w:val="32"/>
        </w:rPr>
      </w:pPr>
      <w:r>
        <w:rPr>
          <w:rFonts w:hint="eastAsia" w:asciiTheme="minorEastAsia" w:hAnsiTheme="minorEastAsia" w:eastAsiaTheme="minorEastAsia" w:cstheme="minorEastAsia"/>
          <w:color w:val="000000"/>
          <w:sz w:val="21"/>
          <w:szCs w:val="32"/>
        </w:rPr>
        <w:t>数据来源：麦可思-海南外国语职业学院2019届毕业生培养质量评价数据。</w:t>
      </w:r>
    </w:p>
    <w:bookmarkEnd w:id="349"/>
    <w:p>
      <w:pPr>
        <w:spacing w:line="240" w:lineRule="auto"/>
        <w:jc w:val="left"/>
        <w:rPr>
          <w:rFonts w:ascii="Calibri" w:hAnsi="Calibri" w:cs="Arial"/>
          <w:kern w:val="0"/>
          <w:sz w:val="18"/>
          <w:szCs w:val="18"/>
        </w:rPr>
      </w:pPr>
    </w:p>
    <w:p>
      <w:pPr>
        <w:pStyle w:val="7"/>
        <w:bidi w:val="0"/>
        <w:rPr>
          <w:rFonts w:hint="eastAsia" w:ascii="Calibri" w:hAnsi="Calibri" w:cs="Arial"/>
          <w:b w:val="0"/>
          <w:szCs w:val="21"/>
          <w:lang w:eastAsia="zh-CN"/>
        </w:rPr>
      </w:pPr>
      <w:bookmarkStart w:id="351" w:name="icb_8020"/>
      <w:r>
        <w:rPr>
          <w:rFonts w:ascii="Calibri" w:hAnsi="Calibri" w:cs="Arial"/>
          <w:b w:val="0"/>
          <w:szCs w:val="21"/>
          <w:lang w:eastAsia="zh-CN"/>
        </w:rPr>
        <w:br w:type="page"/>
      </w:r>
      <w:r>
        <w:rPr>
          <w:rFonts w:hint="eastAsia" w:ascii="Calibri" w:hAnsi="Calibri" w:cs="Arial"/>
          <w:b w:val="0"/>
          <w:szCs w:val="21"/>
          <w:lang w:eastAsia="zh-CN"/>
        </w:rPr>
        <w:t>与2018届相比，本校2019届月收入上升较多的专业是应用法语（5671元）、应用英语（英语翻译）（4396元）、电子商务（4933元）、应用西班牙语（4829元）、商务英语（外贸业务）（4183元）。</w:t>
      </w:r>
    </w:p>
    <w:p>
      <w:pPr>
        <w:jc w:val="center"/>
        <w:rPr>
          <w:rFonts w:ascii="Calibri" w:hAnsi="Calibri"/>
        </w:rPr>
      </w:pPr>
      <w:r>
        <w:rPr>
          <w:rFonts w:ascii="Calibri" w:hAnsi="Calibri"/>
        </w:rPr>
        <w:drawing>
          <wp:inline distT="0" distB="0" distL="114300" distR="114300">
            <wp:extent cx="5210175" cy="5962650"/>
            <wp:effectExtent l="0" t="0" r="0" b="0"/>
            <wp:docPr id="8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图片 19"/>
                    <pic:cNvPicPr>
                      <a:picLocks noChangeAspect="1"/>
                    </pic:cNvPicPr>
                  </pic:nvPicPr>
                  <pic:blipFill>
                    <a:blip r:embed="rId59"/>
                    <a:stretch>
                      <a:fillRect/>
                    </a:stretch>
                  </pic:blipFill>
                  <pic:spPr>
                    <a:xfrm>
                      <a:off x="0" y="0"/>
                      <a:ext cx="5210175" cy="5962650"/>
                    </a:xfrm>
                    <a:prstGeom prst="rect">
                      <a:avLst/>
                    </a:prstGeom>
                    <a:noFill/>
                    <a:ln>
                      <a:noFill/>
                    </a:ln>
                  </pic:spPr>
                </pic:pic>
              </a:graphicData>
            </a:graphic>
          </wp:inline>
        </w:drawing>
      </w:r>
    </w:p>
    <w:p>
      <w:pPr>
        <w:pStyle w:val="8"/>
        <w:numPr>
          <w:ilvl w:val="0"/>
          <w:numId w:val="0"/>
        </w:numPr>
        <w:spacing w:line="360" w:lineRule="auto"/>
        <w:jc w:val="center"/>
        <w:rPr>
          <w:rFonts w:hint="eastAsia" w:asciiTheme="minorEastAsia" w:hAnsiTheme="minorEastAsia" w:eastAsiaTheme="minorEastAsia" w:cstheme="minorEastAsia"/>
          <w:b/>
          <w:bCs/>
          <w:kern w:val="2"/>
          <w:sz w:val="21"/>
          <w:szCs w:val="21"/>
          <w:lang w:val="en-US" w:eastAsia="zh-CN" w:bidi="ar-SA"/>
        </w:rPr>
      </w:pPr>
      <w:bookmarkStart w:id="352" w:name="_Toc23442281"/>
      <w:r>
        <w:rPr>
          <w:rFonts w:hint="eastAsia" w:asciiTheme="minorEastAsia" w:hAnsiTheme="minorEastAsia" w:eastAsiaTheme="minorEastAsia" w:cstheme="minorEastAsia"/>
          <w:b/>
          <w:bCs/>
          <w:kern w:val="2"/>
          <w:sz w:val="21"/>
          <w:szCs w:val="21"/>
          <w:lang w:val="en-US" w:eastAsia="zh-CN" w:bidi="ar-SA"/>
        </w:rPr>
        <w:t>图 3-6各专业毕业生的月收入、与本校2018届对比</w:t>
      </w:r>
      <w:bookmarkEnd w:id="352"/>
    </w:p>
    <w:p>
      <w:pPr>
        <w:jc w:val="left"/>
        <w:rPr>
          <w:rFonts w:hint="eastAsia" w:asciiTheme="minorEastAsia" w:hAnsiTheme="minorEastAsia" w:eastAsiaTheme="minorEastAsia" w:cstheme="minorEastAsia"/>
          <w:color w:val="000000"/>
          <w:sz w:val="21"/>
          <w:szCs w:val="32"/>
        </w:rPr>
      </w:pPr>
      <w:r>
        <w:rPr>
          <w:rFonts w:hint="eastAsia" w:asciiTheme="minorEastAsia" w:hAnsiTheme="minorEastAsia" w:eastAsiaTheme="minorEastAsia" w:cstheme="minorEastAsia"/>
          <w:color w:val="000000"/>
          <w:sz w:val="21"/>
          <w:szCs w:val="32"/>
        </w:rPr>
        <w:t>注：个别专业因样本较少没有包括在内。</w:t>
      </w:r>
    </w:p>
    <w:p>
      <w:pPr>
        <w:jc w:val="left"/>
        <w:rPr>
          <w:rFonts w:hint="eastAsia" w:asciiTheme="minorEastAsia" w:hAnsiTheme="minorEastAsia" w:eastAsiaTheme="minorEastAsia" w:cstheme="minorEastAsia"/>
          <w:color w:val="000000"/>
          <w:sz w:val="21"/>
          <w:szCs w:val="32"/>
        </w:rPr>
      </w:pPr>
      <w:r>
        <w:rPr>
          <w:rFonts w:hint="eastAsia" w:asciiTheme="minorEastAsia" w:hAnsiTheme="minorEastAsia" w:eastAsiaTheme="minorEastAsia" w:cstheme="minorEastAsia"/>
          <w:color w:val="000000"/>
          <w:sz w:val="21"/>
          <w:szCs w:val="32"/>
        </w:rPr>
        <w:t>数据来源：麦可思-海南外国语职业学院2019届毕业生培养质量评价数据。</w:t>
      </w:r>
    </w:p>
    <w:p>
      <w:pPr>
        <w:jc w:val="left"/>
        <w:rPr>
          <w:rFonts w:hint="eastAsia" w:asciiTheme="minorEastAsia" w:hAnsiTheme="minorEastAsia" w:eastAsiaTheme="minorEastAsia" w:cstheme="minorEastAsia"/>
          <w:color w:val="000000"/>
          <w:sz w:val="21"/>
          <w:szCs w:val="32"/>
        </w:rPr>
        <w:sectPr>
          <w:footnotePr>
            <w:numRestart w:val="eachPage"/>
          </w:footnotePr>
          <w:pgSz w:w="11906" w:h="16838"/>
          <w:pgMar w:top="1985" w:right="1531" w:bottom="1701" w:left="1701" w:header="964" w:footer="851" w:gutter="0"/>
          <w:pgNumType w:fmt="decimal"/>
          <w:cols w:space="425" w:num="1"/>
          <w:docGrid w:linePitch="312" w:charSpace="0"/>
        </w:sectPr>
      </w:pPr>
    </w:p>
    <w:p>
      <w:pPr>
        <w:adjustRightInd w:val="0"/>
        <w:snapToGrid w:val="0"/>
        <w:jc w:val="center"/>
        <w:rPr>
          <w:rFonts w:ascii="Calibri" w:hAnsi="Calibri" w:cs="Arial"/>
          <w:kern w:val="0"/>
          <w:sz w:val="18"/>
          <w:szCs w:val="18"/>
        </w:rPr>
      </w:pPr>
      <w:r>
        <w:rPr>
          <w:rFonts w:ascii="Calibri" w:hAnsi="Calibri" w:cs="Arial"/>
          <w:kern w:val="0"/>
          <w:sz w:val="18"/>
          <w:szCs w:val="18"/>
        </w:rPr>
        <w:drawing>
          <wp:inline distT="0" distB="0" distL="114300" distR="114300">
            <wp:extent cx="5210175" cy="5867400"/>
            <wp:effectExtent l="0" t="0" r="0" b="0"/>
            <wp:docPr id="85"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图片 20"/>
                    <pic:cNvPicPr>
                      <a:picLocks noChangeAspect="1"/>
                    </pic:cNvPicPr>
                  </pic:nvPicPr>
                  <pic:blipFill>
                    <a:blip r:embed="rId60"/>
                    <a:stretch>
                      <a:fillRect/>
                    </a:stretch>
                  </pic:blipFill>
                  <pic:spPr>
                    <a:xfrm>
                      <a:off x="0" y="0"/>
                      <a:ext cx="5210175" cy="5867400"/>
                    </a:xfrm>
                    <a:prstGeom prst="rect">
                      <a:avLst/>
                    </a:prstGeom>
                    <a:noFill/>
                    <a:ln>
                      <a:noFill/>
                    </a:ln>
                  </pic:spPr>
                </pic:pic>
              </a:graphicData>
            </a:graphic>
          </wp:inline>
        </w:drawing>
      </w:r>
    </w:p>
    <w:p>
      <w:pPr>
        <w:pStyle w:val="8"/>
        <w:numPr>
          <w:ilvl w:val="0"/>
          <w:numId w:val="0"/>
        </w:numPr>
        <w:spacing w:line="360" w:lineRule="auto"/>
        <w:jc w:val="center"/>
        <w:rPr>
          <w:rFonts w:hint="eastAsia" w:asciiTheme="minorEastAsia" w:hAnsiTheme="minorEastAsia" w:eastAsiaTheme="minorEastAsia" w:cstheme="minorEastAsia"/>
          <w:b/>
          <w:bCs/>
          <w:kern w:val="2"/>
          <w:sz w:val="21"/>
          <w:szCs w:val="21"/>
          <w:lang w:val="en-US" w:eastAsia="zh-CN" w:bidi="ar-SA"/>
        </w:rPr>
      </w:pPr>
      <w:r>
        <w:rPr>
          <w:rFonts w:hint="eastAsia" w:asciiTheme="minorEastAsia" w:hAnsiTheme="minorEastAsia" w:eastAsiaTheme="minorEastAsia" w:cstheme="minorEastAsia"/>
          <w:b/>
          <w:bCs/>
          <w:kern w:val="2"/>
          <w:sz w:val="21"/>
          <w:szCs w:val="21"/>
          <w:lang w:val="en-US" w:eastAsia="zh-CN" w:bidi="ar-SA"/>
        </w:rPr>
        <w:t>续图 3-6  各专业毕业生的月收入、与本校2018届对比</w:t>
      </w:r>
    </w:p>
    <w:p>
      <w:pPr>
        <w:jc w:val="left"/>
        <w:rPr>
          <w:rFonts w:hint="eastAsia" w:asciiTheme="minorEastAsia" w:hAnsiTheme="minorEastAsia" w:eastAsiaTheme="minorEastAsia" w:cstheme="minorEastAsia"/>
          <w:color w:val="000000"/>
          <w:sz w:val="21"/>
          <w:szCs w:val="32"/>
        </w:rPr>
      </w:pPr>
      <w:r>
        <w:rPr>
          <w:rFonts w:hint="eastAsia" w:asciiTheme="minorEastAsia" w:hAnsiTheme="minorEastAsia" w:eastAsiaTheme="minorEastAsia" w:cstheme="minorEastAsia"/>
          <w:color w:val="000000"/>
          <w:sz w:val="21"/>
          <w:szCs w:val="32"/>
        </w:rPr>
        <w:t>注：个别专业因样本较少没有包括在内。</w:t>
      </w:r>
    </w:p>
    <w:p>
      <w:pPr>
        <w:jc w:val="left"/>
        <w:rPr>
          <w:rFonts w:hint="eastAsia" w:ascii="Calibri" w:hAnsi="Calibri" w:cs="Arial"/>
          <w:color w:val="000000"/>
          <w:kern w:val="0"/>
          <w:sz w:val="18"/>
          <w:szCs w:val="18"/>
        </w:rPr>
      </w:pPr>
      <w:r>
        <w:rPr>
          <w:rFonts w:hint="eastAsia" w:asciiTheme="minorEastAsia" w:hAnsiTheme="minorEastAsia" w:eastAsiaTheme="minorEastAsia" w:cstheme="minorEastAsia"/>
          <w:color w:val="000000"/>
          <w:sz w:val="21"/>
          <w:szCs w:val="32"/>
        </w:rPr>
        <w:t>数据来源：麦可思-海南外国语职业学院2019届毕业生培养质量评价数据。</w:t>
      </w:r>
    </w:p>
    <w:p>
      <w:pPr>
        <w:adjustRightInd w:val="0"/>
        <w:snapToGrid w:val="0"/>
        <w:spacing w:line="240" w:lineRule="auto"/>
        <w:jc w:val="center"/>
        <w:rPr>
          <w:rFonts w:hint="eastAsia" w:ascii="Calibri" w:hAnsi="Calibri" w:cs="Arial"/>
          <w:color w:val="000000"/>
          <w:kern w:val="0"/>
          <w:sz w:val="18"/>
          <w:szCs w:val="18"/>
        </w:rPr>
      </w:pPr>
    </w:p>
    <w:bookmarkEnd w:id="351"/>
    <w:p>
      <w:pPr>
        <w:rPr>
          <w:rFonts w:ascii="Calibri" w:hAnsi="Calibri"/>
        </w:rPr>
      </w:pPr>
    </w:p>
    <w:p>
      <w:pPr>
        <w:spacing w:line="240" w:lineRule="auto"/>
        <w:jc w:val="left"/>
        <w:rPr>
          <w:rFonts w:hint="eastAsia" w:ascii="Calibri" w:hAnsi="Calibri" w:cs="Arial"/>
          <w:kern w:val="0"/>
          <w:sz w:val="18"/>
          <w:szCs w:val="18"/>
        </w:rPr>
      </w:pPr>
    </w:p>
    <w:p>
      <w:pPr>
        <w:jc w:val="center"/>
        <w:rPr>
          <w:rFonts w:ascii="Calibri" w:hAnsi="Calibri"/>
          <w:kern w:val="0"/>
          <w:sz w:val="18"/>
          <w:szCs w:val="18"/>
        </w:rPr>
        <w:sectPr>
          <w:footnotePr>
            <w:numRestart w:val="eachPage"/>
          </w:footnotePr>
          <w:pgSz w:w="11906" w:h="16838"/>
          <w:pgMar w:top="1985" w:right="1531" w:bottom="1701" w:left="1701" w:header="964" w:footer="851" w:gutter="0"/>
          <w:pgNumType w:fmt="decimal"/>
          <w:cols w:space="425" w:num="1"/>
          <w:docGrid w:linePitch="312" w:charSpace="0"/>
        </w:sectPr>
      </w:pPr>
    </w:p>
    <w:bookmarkEnd w:id="347"/>
    <w:p>
      <w:pPr>
        <w:pStyle w:val="4"/>
        <w:bidi w:val="0"/>
        <w:ind w:left="0" w:leftChars="0" w:firstLine="400" w:firstLineChars="0"/>
        <w:rPr>
          <w:rFonts w:hint="eastAsia"/>
        </w:rPr>
      </w:pPr>
      <w:bookmarkStart w:id="353" w:name="_Toc23434194"/>
      <w:bookmarkStart w:id="354" w:name="_Toc20766"/>
      <w:bookmarkStart w:id="355" w:name="icb_101"/>
      <w:bookmarkStart w:id="356" w:name="pb_47"/>
      <w:r>
        <w:rPr>
          <w:rFonts w:ascii="Calibri" w:hAnsi="Calibri"/>
        </w:rPr>
        <w:drawing>
          <wp:anchor distT="0" distB="0" distL="114300" distR="114300" simplePos="0" relativeHeight="251661312" behindDoc="0" locked="0" layoutInCell="1" allowOverlap="1">
            <wp:simplePos x="0" y="0"/>
            <wp:positionH relativeFrom="column">
              <wp:posOffset>5715</wp:posOffset>
            </wp:positionH>
            <wp:positionV relativeFrom="paragraph">
              <wp:posOffset>1604010</wp:posOffset>
            </wp:positionV>
            <wp:extent cx="5210175" cy="2514600"/>
            <wp:effectExtent l="0" t="0" r="0" b="0"/>
            <wp:wrapTopAndBottom/>
            <wp:docPr id="83"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图片 21"/>
                    <pic:cNvPicPr>
                      <a:picLocks noChangeAspect="1"/>
                    </pic:cNvPicPr>
                  </pic:nvPicPr>
                  <pic:blipFill>
                    <a:blip r:embed="rId61"/>
                    <a:stretch>
                      <a:fillRect/>
                    </a:stretch>
                  </pic:blipFill>
                  <pic:spPr>
                    <a:xfrm>
                      <a:off x="0" y="0"/>
                      <a:ext cx="5210175" cy="2514600"/>
                    </a:xfrm>
                    <a:prstGeom prst="rect">
                      <a:avLst/>
                    </a:prstGeom>
                    <a:noFill/>
                    <a:ln>
                      <a:noFill/>
                    </a:ln>
                  </pic:spPr>
                </pic:pic>
              </a:graphicData>
            </a:graphic>
          </wp:anchor>
        </w:drawing>
      </w:r>
      <w:r>
        <w:rPr>
          <w:rFonts w:hint="eastAsia"/>
        </w:rPr>
        <w:t>专业相关度变化趋势</w:t>
      </w:r>
      <w:bookmarkEnd w:id="353"/>
      <w:bookmarkEnd w:id="354"/>
    </w:p>
    <w:p>
      <w:pPr>
        <w:pStyle w:val="7"/>
        <w:bidi w:val="0"/>
        <w:rPr>
          <w:rFonts w:hint="eastAsia"/>
        </w:rPr>
      </w:pPr>
      <w:r>
        <w:rPr>
          <w:rFonts w:hint="eastAsia"/>
        </w:rPr>
        <w:t>本校毕业生的工作与专业相关度整体呈上升趋势。2019届毕业生的工作与专业相关度为56%，与2018届（57%）基本持平，高于2</w:t>
      </w:r>
      <w:r>
        <w:t>017</w:t>
      </w:r>
      <w:r>
        <w:rPr>
          <w:rFonts w:hint="eastAsia"/>
        </w:rPr>
        <w:t>届（5</w:t>
      </w:r>
      <w:r>
        <w:t>4%</w:t>
      </w:r>
      <w:r>
        <w:rPr>
          <w:rFonts w:hint="eastAsia"/>
        </w:rPr>
        <w:t>）、2</w:t>
      </w:r>
      <w:r>
        <w:t>016</w:t>
      </w:r>
      <w:r>
        <w:rPr>
          <w:rFonts w:hint="eastAsia"/>
        </w:rPr>
        <w:t>届（5</w:t>
      </w:r>
      <w:r>
        <w:t>2%</w:t>
      </w:r>
      <w:r>
        <w:rPr>
          <w:rFonts w:hint="eastAsia"/>
        </w:rPr>
        <w:t>）。</w:t>
      </w:r>
    </w:p>
    <w:p>
      <w:pPr>
        <w:pStyle w:val="8"/>
        <w:numPr>
          <w:ilvl w:val="0"/>
          <w:numId w:val="0"/>
        </w:numPr>
        <w:spacing w:line="360" w:lineRule="auto"/>
        <w:jc w:val="center"/>
        <w:rPr>
          <w:rFonts w:hint="eastAsia" w:asciiTheme="minorEastAsia" w:hAnsiTheme="minorEastAsia" w:eastAsiaTheme="minorEastAsia" w:cstheme="minorEastAsia"/>
          <w:b/>
          <w:bCs/>
          <w:kern w:val="2"/>
          <w:sz w:val="21"/>
          <w:szCs w:val="21"/>
          <w:lang w:val="en-US" w:eastAsia="zh-CN" w:bidi="ar-SA"/>
        </w:rPr>
      </w:pPr>
    </w:p>
    <w:p>
      <w:pPr>
        <w:pStyle w:val="8"/>
        <w:numPr>
          <w:ilvl w:val="0"/>
          <w:numId w:val="0"/>
        </w:numPr>
        <w:spacing w:line="360" w:lineRule="auto"/>
        <w:jc w:val="center"/>
        <w:rPr>
          <w:rFonts w:hint="eastAsia" w:asciiTheme="minorEastAsia" w:hAnsiTheme="minorEastAsia" w:eastAsiaTheme="minorEastAsia" w:cstheme="minorEastAsia"/>
          <w:b/>
          <w:bCs/>
          <w:kern w:val="2"/>
          <w:sz w:val="21"/>
          <w:szCs w:val="21"/>
          <w:lang w:val="en-US" w:eastAsia="zh-CN" w:bidi="ar-SA"/>
        </w:rPr>
      </w:pPr>
      <w:bookmarkStart w:id="357" w:name="_Toc23442282"/>
      <w:r>
        <w:rPr>
          <w:rFonts w:hint="eastAsia" w:asciiTheme="minorEastAsia" w:hAnsiTheme="minorEastAsia" w:eastAsiaTheme="minorEastAsia" w:cstheme="minorEastAsia"/>
          <w:b/>
          <w:bCs/>
          <w:kern w:val="2"/>
          <w:sz w:val="21"/>
          <w:szCs w:val="21"/>
          <w:lang w:val="en-US" w:eastAsia="zh-CN" w:bidi="ar-SA"/>
        </w:rPr>
        <w:t>图 3-7专业相关度变化趋势</w:t>
      </w:r>
      <w:bookmarkEnd w:id="357"/>
    </w:p>
    <w:p>
      <w:pPr>
        <w:jc w:val="left"/>
        <w:rPr>
          <w:rFonts w:hint="eastAsia" w:asciiTheme="minorEastAsia" w:hAnsiTheme="minorEastAsia" w:eastAsiaTheme="minorEastAsia" w:cstheme="minorEastAsia"/>
          <w:color w:val="000000"/>
          <w:sz w:val="21"/>
          <w:szCs w:val="32"/>
        </w:rPr>
      </w:pPr>
      <w:r>
        <w:rPr>
          <w:rFonts w:hint="eastAsia" w:asciiTheme="minorEastAsia" w:hAnsiTheme="minorEastAsia" w:eastAsiaTheme="minorEastAsia" w:cstheme="minorEastAsia"/>
          <w:color w:val="000000"/>
          <w:sz w:val="21"/>
          <w:szCs w:val="32"/>
        </w:rPr>
        <w:t>数据来源：麦可思-海南外国语职业学院2019届毕业生培养质量评价数据。</w:t>
      </w:r>
    </w:p>
    <w:p>
      <w:pPr>
        <w:spacing w:line="240" w:lineRule="auto"/>
        <w:jc w:val="left"/>
        <w:rPr>
          <w:rFonts w:ascii="Calibri" w:hAnsi="Calibri" w:cs="Arial"/>
          <w:kern w:val="0"/>
          <w:sz w:val="18"/>
          <w:szCs w:val="18"/>
        </w:rPr>
      </w:pPr>
    </w:p>
    <w:bookmarkEnd w:id="355"/>
    <w:p>
      <w:pPr>
        <w:spacing w:line="240" w:lineRule="auto"/>
        <w:jc w:val="left"/>
        <w:rPr>
          <w:rFonts w:ascii="Calibri" w:hAnsi="Calibri" w:cs="Arial"/>
          <w:kern w:val="0"/>
          <w:sz w:val="18"/>
          <w:szCs w:val="18"/>
        </w:rPr>
        <w:sectPr>
          <w:footnotePr>
            <w:numRestart w:val="eachPage"/>
          </w:footnotePr>
          <w:pgSz w:w="11906" w:h="16838"/>
          <w:pgMar w:top="1985" w:right="1531" w:bottom="1701" w:left="1701" w:header="964" w:footer="851" w:gutter="0"/>
          <w:pgNumType w:fmt="decimal"/>
          <w:cols w:space="425" w:num="1"/>
          <w:docGrid w:linePitch="312" w:charSpace="0"/>
        </w:sectPr>
      </w:pPr>
    </w:p>
    <w:p>
      <w:pPr>
        <w:pStyle w:val="7"/>
        <w:bidi w:val="0"/>
        <w:rPr>
          <w:rFonts w:hint="eastAsia"/>
          <w:lang w:eastAsia="zh-CN"/>
        </w:rPr>
      </w:pPr>
      <w:bookmarkStart w:id="358" w:name="icb_102"/>
      <w:r>
        <w:rPr>
          <w:rFonts w:hint="eastAsia"/>
          <w:lang w:eastAsia="zh-CN"/>
        </w:rPr>
        <w:t>与2018届相比，本校2019届工作与专业相关度有所上升的院系是国际商务系（53%）。</w:t>
      </w:r>
    </w:p>
    <w:p>
      <w:pPr>
        <w:jc w:val="center"/>
        <w:rPr>
          <w:rFonts w:ascii="Calibri" w:hAnsi="Calibri"/>
        </w:rPr>
      </w:pPr>
      <w:r>
        <w:rPr>
          <w:rFonts w:ascii="Calibri" w:hAnsi="Calibri"/>
        </w:rPr>
        <w:drawing>
          <wp:inline distT="0" distB="0" distL="114300" distR="114300">
            <wp:extent cx="5067300" cy="4152900"/>
            <wp:effectExtent l="0" t="0" r="0" b="0"/>
            <wp:docPr id="88"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图片 22"/>
                    <pic:cNvPicPr>
                      <a:picLocks noChangeAspect="1"/>
                    </pic:cNvPicPr>
                  </pic:nvPicPr>
                  <pic:blipFill>
                    <a:blip r:embed="rId62"/>
                    <a:stretch>
                      <a:fillRect/>
                    </a:stretch>
                  </pic:blipFill>
                  <pic:spPr>
                    <a:xfrm>
                      <a:off x="0" y="0"/>
                      <a:ext cx="5067300" cy="4152900"/>
                    </a:xfrm>
                    <a:prstGeom prst="rect">
                      <a:avLst/>
                    </a:prstGeom>
                    <a:noFill/>
                    <a:ln>
                      <a:noFill/>
                    </a:ln>
                  </pic:spPr>
                </pic:pic>
              </a:graphicData>
            </a:graphic>
          </wp:inline>
        </w:drawing>
      </w:r>
    </w:p>
    <w:p>
      <w:pPr>
        <w:pStyle w:val="8"/>
        <w:numPr>
          <w:ilvl w:val="0"/>
          <w:numId w:val="0"/>
        </w:numPr>
        <w:spacing w:line="360" w:lineRule="auto"/>
        <w:jc w:val="center"/>
        <w:rPr>
          <w:rFonts w:hint="eastAsia" w:asciiTheme="minorEastAsia" w:hAnsiTheme="minorEastAsia" w:eastAsiaTheme="minorEastAsia" w:cstheme="minorEastAsia"/>
          <w:b/>
          <w:bCs/>
          <w:kern w:val="2"/>
          <w:sz w:val="21"/>
          <w:szCs w:val="21"/>
          <w:lang w:val="en-US" w:eastAsia="zh-CN" w:bidi="ar-SA"/>
        </w:rPr>
      </w:pPr>
      <w:bookmarkStart w:id="359" w:name="_Toc23442283"/>
      <w:r>
        <w:rPr>
          <w:rFonts w:hint="eastAsia" w:asciiTheme="minorEastAsia" w:hAnsiTheme="minorEastAsia" w:eastAsiaTheme="minorEastAsia" w:cstheme="minorEastAsia"/>
          <w:b/>
          <w:bCs/>
          <w:kern w:val="2"/>
          <w:sz w:val="21"/>
          <w:szCs w:val="21"/>
          <w:lang w:val="en-US" w:eastAsia="zh-CN" w:bidi="ar-SA"/>
        </w:rPr>
        <w:t>图 3-8各院系毕业生的工作与专业相关度、与本校2018届对比</w:t>
      </w:r>
      <w:bookmarkEnd w:id="359"/>
    </w:p>
    <w:p>
      <w:pPr>
        <w:jc w:val="left"/>
        <w:rPr>
          <w:rFonts w:hint="eastAsia" w:asciiTheme="minorEastAsia" w:hAnsiTheme="minorEastAsia" w:eastAsiaTheme="minorEastAsia" w:cstheme="minorEastAsia"/>
          <w:color w:val="000000"/>
          <w:sz w:val="21"/>
          <w:szCs w:val="32"/>
        </w:rPr>
      </w:pPr>
      <w:r>
        <w:rPr>
          <w:rFonts w:hint="eastAsia" w:asciiTheme="minorEastAsia" w:hAnsiTheme="minorEastAsia" w:eastAsiaTheme="minorEastAsia" w:cstheme="minorEastAsia"/>
          <w:color w:val="000000"/>
          <w:sz w:val="21"/>
          <w:szCs w:val="32"/>
        </w:rPr>
        <w:t>注：个别院系因样本较少没有包括在内。</w:t>
      </w:r>
    </w:p>
    <w:p>
      <w:pPr>
        <w:jc w:val="left"/>
        <w:rPr>
          <w:rFonts w:hint="eastAsia" w:asciiTheme="minorEastAsia" w:hAnsiTheme="minorEastAsia" w:eastAsiaTheme="minorEastAsia" w:cstheme="minorEastAsia"/>
          <w:color w:val="000000"/>
          <w:sz w:val="21"/>
          <w:szCs w:val="32"/>
        </w:rPr>
      </w:pPr>
      <w:r>
        <w:rPr>
          <w:rFonts w:hint="eastAsia" w:asciiTheme="minorEastAsia" w:hAnsiTheme="minorEastAsia" w:eastAsiaTheme="minorEastAsia" w:cstheme="minorEastAsia"/>
          <w:color w:val="000000"/>
          <w:sz w:val="21"/>
          <w:szCs w:val="32"/>
        </w:rPr>
        <w:t>数据来源：麦可思-海南外国语职业学院2019届毕业生培养质量评价数据。</w:t>
      </w:r>
    </w:p>
    <w:p>
      <w:pPr>
        <w:spacing w:line="240" w:lineRule="auto"/>
        <w:jc w:val="left"/>
        <w:rPr>
          <w:rFonts w:ascii="Calibri" w:hAnsi="Calibri" w:cs="Calibri"/>
          <w:sz w:val="18"/>
        </w:rPr>
      </w:pPr>
    </w:p>
    <w:bookmarkEnd w:id="358"/>
    <w:p>
      <w:pPr>
        <w:spacing w:line="240" w:lineRule="auto"/>
        <w:jc w:val="left"/>
        <w:rPr>
          <w:rFonts w:hint="eastAsia" w:ascii="Calibri" w:hAnsi="Calibri" w:cs="Arial"/>
        </w:rPr>
      </w:pPr>
    </w:p>
    <w:p>
      <w:pPr>
        <w:adjustRightInd w:val="0"/>
        <w:snapToGrid w:val="0"/>
        <w:spacing w:line="240" w:lineRule="auto"/>
        <w:jc w:val="left"/>
        <w:rPr>
          <w:rFonts w:hint="eastAsia" w:ascii="Calibri" w:hAnsi="Calibri" w:cs="Arial"/>
          <w:kern w:val="0"/>
          <w:sz w:val="18"/>
          <w:szCs w:val="18"/>
        </w:rPr>
      </w:pPr>
    </w:p>
    <w:p>
      <w:pPr>
        <w:adjustRightInd w:val="0"/>
        <w:snapToGrid w:val="0"/>
        <w:spacing w:line="240" w:lineRule="auto"/>
        <w:jc w:val="left"/>
        <w:rPr>
          <w:rFonts w:ascii="Calibri" w:hAnsi="Calibri" w:cs="Arial"/>
          <w:kern w:val="0"/>
          <w:sz w:val="18"/>
          <w:szCs w:val="18"/>
        </w:rPr>
      </w:pPr>
    </w:p>
    <w:p>
      <w:pPr>
        <w:adjustRightInd w:val="0"/>
        <w:snapToGrid w:val="0"/>
        <w:spacing w:line="240" w:lineRule="auto"/>
        <w:jc w:val="left"/>
        <w:rPr>
          <w:rFonts w:ascii="Calibri" w:hAnsi="Calibri" w:cs="Arial"/>
          <w:kern w:val="0"/>
          <w:sz w:val="18"/>
          <w:szCs w:val="18"/>
        </w:rPr>
        <w:sectPr>
          <w:footnotePr>
            <w:numRestart w:val="eachPage"/>
          </w:footnotePr>
          <w:pgSz w:w="11906" w:h="16838"/>
          <w:pgMar w:top="1985" w:right="1531" w:bottom="1701" w:left="1701" w:header="964" w:footer="851" w:gutter="0"/>
          <w:pgNumType w:fmt="decimal"/>
          <w:cols w:space="425" w:num="1"/>
          <w:docGrid w:linePitch="312" w:charSpace="0"/>
        </w:sectPr>
      </w:pPr>
    </w:p>
    <w:p>
      <w:pPr>
        <w:pStyle w:val="7"/>
        <w:bidi w:val="0"/>
        <w:rPr>
          <w:rFonts w:hint="eastAsia"/>
          <w:lang w:eastAsia="zh-CN"/>
        </w:rPr>
      </w:pPr>
      <w:bookmarkStart w:id="360" w:name="icb_8021"/>
      <w:r>
        <w:rPr>
          <w:rFonts w:hint="eastAsia"/>
          <w:lang w:eastAsia="zh-CN"/>
        </w:rPr>
        <w:t>与2018届相比，本校2019届工作与专业相关度有所上升的专业是商务英语（外贸业务）（58%）、商务英语（22%）、应用英语（少儿师资）（82%）、酒店管理（72%）、应用英语（英语翻译）（52%）。</w:t>
      </w:r>
    </w:p>
    <w:p>
      <w:pPr>
        <w:adjustRightInd w:val="0"/>
        <w:snapToGrid w:val="0"/>
        <w:jc w:val="center"/>
        <w:rPr>
          <w:rFonts w:ascii="Calibri" w:hAnsi="Calibri"/>
        </w:rPr>
      </w:pPr>
      <w:r>
        <w:rPr>
          <w:rFonts w:ascii="Calibri" w:hAnsi="Calibri" w:cs="Arial"/>
        </w:rPr>
        <w:drawing>
          <wp:inline distT="0" distB="0" distL="114300" distR="114300">
            <wp:extent cx="5067300" cy="5962650"/>
            <wp:effectExtent l="0" t="0" r="0" b="0"/>
            <wp:docPr id="87"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图片 23"/>
                    <pic:cNvPicPr>
                      <a:picLocks noChangeAspect="1"/>
                    </pic:cNvPicPr>
                  </pic:nvPicPr>
                  <pic:blipFill>
                    <a:blip r:embed="rId63"/>
                    <a:stretch>
                      <a:fillRect/>
                    </a:stretch>
                  </pic:blipFill>
                  <pic:spPr>
                    <a:xfrm>
                      <a:off x="0" y="0"/>
                      <a:ext cx="5067300" cy="5962650"/>
                    </a:xfrm>
                    <a:prstGeom prst="rect">
                      <a:avLst/>
                    </a:prstGeom>
                    <a:noFill/>
                    <a:ln>
                      <a:noFill/>
                    </a:ln>
                  </pic:spPr>
                </pic:pic>
              </a:graphicData>
            </a:graphic>
          </wp:inline>
        </w:drawing>
      </w:r>
    </w:p>
    <w:p>
      <w:pPr>
        <w:pStyle w:val="8"/>
        <w:numPr>
          <w:ilvl w:val="0"/>
          <w:numId w:val="0"/>
        </w:numPr>
        <w:spacing w:line="360" w:lineRule="auto"/>
        <w:jc w:val="center"/>
        <w:rPr>
          <w:rFonts w:hint="eastAsia" w:asciiTheme="minorEastAsia" w:hAnsiTheme="minorEastAsia" w:eastAsiaTheme="minorEastAsia" w:cstheme="minorEastAsia"/>
          <w:b/>
          <w:bCs/>
          <w:kern w:val="2"/>
          <w:sz w:val="21"/>
          <w:szCs w:val="21"/>
          <w:lang w:val="en-US" w:eastAsia="zh-CN" w:bidi="ar-SA"/>
        </w:rPr>
      </w:pPr>
      <w:bookmarkStart w:id="361" w:name="_Toc23442284"/>
      <w:r>
        <w:rPr>
          <w:rFonts w:hint="eastAsia" w:asciiTheme="minorEastAsia" w:hAnsiTheme="minorEastAsia" w:eastAsiaTheme="minorEastAsia" w:cstheme="minorEastAsia"/>
          <w:b/>
          <w:bCs/>
          <w:kern w:val="2"/>
          <w:sz w:val="21"/>
          <w:szCs w:val="21"/>
          <w:lang w:val="en-US" w:eastAsia="zh-CN" w:bidi="ar-SA"/>
        </w:rPr>
        <w:t>图 3-9各专业毕业生的工作与专业相关度、与本校2018届对比</w:t>
      </w:r>
      <w:bookmarkEnd w:id="361"/>
    </w:p>
    <w:p>
      <w:pPr>
        <w:jc w:val="left"/>
        <w:rPr>
          <w:rFonts w:hint="eastAsia" w:asciiTheme="minorEastAsia" w:hAnsiTheme="minorEastAsia" w:eastAsiaTheme="minorEastAsia" w:cstheme="minorEastAsia"/>
          <w:color w:val="000000"/>
          <w:sz w:val="21"/>
          <w:szCs w:val="32"/>
        </w:rPr>
      </w:pPr>
      <w:r>
        <w:rPr>
          <w:rFonts w:hint="eastAsia" w:asciiTheme="minorEastAsia" w:hAnsiTheme="minorEastAsia" w:eastAsiaTheme="minorEastAsia" w:cstheme="minorEastAsia"/>
          <w:color w:val="000000"/>
          <w:sz w:val="21"/>
          <w:szCs w:val="32"/>
        </w:rPr>
        <w:t>注：个别专业因样本较少没有包括在内。</w:t>
      </w:r>
    </w:p>
    <w:p>
      <w:pPr>
        <w:jc w:val="left"/>
        <w:rPr>
          <w:rFonts w:hint="eastAsia" w:asciiTheme="minorEastAsia" w:hAnsiTheme="minorEastAsia" w:eastAsiaTheme="minorEastAsia" w:cstheme="minorEastAsia"/>
          <w:color w:val="000000"/>
          <w:sz w:val="21"/>
          <w:szCs w:val="32"/>
        </w:rPr>
      </w:pPr>
      <w:r>
        <w:rPr>
          <w:rFonts w:hint="eastAsia" w:asciiTheme="minorEastAsia" w:hAnsiTheme="minorEastAsia" w:eastAsiaTheme="minorEastAsia" w:cstheme="minorEastAsia"/>
          <w:color w:val="000000"/>
          <w:sz w:val="21"/>
          <w:szCs w:val="32"/>
        </w:rPr>
        <w:t>数据来源：麦可思-海南外国语职业学院2019届毕业生培养质量评价数据。</w:t>
      </w:r>
      <w:bookmarkEnd w:id="360"/>
    </w:p>
    <w:p>
      <w:pPr>
        <w:adjustRightInd w:val="0"/>
        <w:snapToGrid w:val="0"/>
        <w:spacing w:line="240" w:lineRule="auto"/>
        <w:jc w:val="left"/>
        <w:rPr>
          <w:rFonts w:hint="eastAsia" w:ascii="Calibri" w:hAnsi="Calibri"/>
        </w:rPr>
        <w:sectPr>
          <w:footnotePr>
            <w:numRestart w:val="eachPage"/>
          </w:footnotePr>
          <w:pgSz w:w="11906" w:h="16838"/>
          <w:pgMar w:top="1985" w:right="1531" w:bottom="1701" w:left="1701" w:header="964" w:footer="851" w:gutter="0"/>
          <w:pgNumType w:fmt="decimal"/>
          <w:cols w:space="425" w:num="1"/>
          <w:docGrid w:linePitch="312" w:charSpace="0"/>
        </w:sectPr>
      </w:pPr>
    </w:p>
    <w:bookmarkEnd w:id="356"/>
    <w:p>
      <w:pPr>
        <w:pStyle w:val="4"/>
        <w:bidi w:val="0"/>
        <w:ind w:left="0" w:leftChars="0" w:firstLine="400" w:firstLineChars="0"/>
        <w:rPr>
          <w:rFonts w:hint="eastAsia"/>
        </w:rPr>
      </w:pPr>
      <w:bookmarkStart w:id="362" w:name="_Toc23434195"/>
      <w:bookmarkStart w:id="363" w:name="_Toc1413"/>
      <w:bookmarkStart w:id="364" w:name="icb_107"/>
      <w:bookmarkStart w:id="365" w:name="pb_48"/>
      <w:r>
        <w:rPr>
          <w:rFonts w:hint="eastAsia"/>
        </w:rPr>
        <w:t>就业现状满意度变化趋势</w:t>
      </w:r>
      <w:bookmarkEnd w:id="362"/>
      <w:bookmarkEnd w:id="363"/>
    </w:p>
    <w:p>
      <w:pPr>
        <w:pStyle w:val="7"/>
        <w:bidi w:val="0"/>
        <w:rPr>
          <w:rFonts w:hint="eastAsia"/>
        </w:rPr>
      </w:pPr>
      <w:r>
        <w:rPr>
          <w:rFonts w:ascii="Calibri" w:hAnsi="Calibri"/>
        </w:rPr>
        <w:drawing>
          <wp:anchor distT="0" distB="0" distL="114300" distR="114300" simplePos="0" relativeHeight="251660288" behindDoc="0" locked="0" layoutInCell="1" allowOverlap="1">
            <wp:simplePos x="0" y="0"/>
            <wp:positionH relativeFrom="column">
              <wp:posOffset>-89535</wp:posOffset>
            </wp:positionH>
            <wp:positionV relativeFrom="paragraph">
              <wp:posOffset>1267460</wp:posOffset>
            </wp:positionV>
            <wp:extent cx="5210175" cy="2514600"/>
            <wp:effectExtent l="0" t="0" r="0" b="0"/>
            <wp:wrapTopAndBottom/>
            <wp:docPr id="86"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图片 24"/>
                    <pic:cNvPicPr>
                      <a:picLocks noChangeAspect="1"/>
                    </pic:cNvPicPr>
                  </pic:nvPicPr>
                  <pic:blipFill>
                    <a:blip r:embed="rId64"/>
                    <a:stretch>
                      <a:fillRect/>
                    </a:stretch>
                  </pic:blipFill>
                  <pic:spPr>
                    <a:xfrm>
                      <a:off x="0" y="0"/>
                      <a:ext cx="5210175" cy="2514600"/>
                    </a:xfrm>
                    <a:prstGeom prst="rect">
                      <a:avLst/>
                    </a:prstGeom>
                    <a:noFill/>
                    <a:ln>
                      <a:noFill/>
                    </a:ln>
                  </pic:spPr>
                </pic:pic>
              </a:graphicData>
            </a:graphic>
          </wp:anchor>
        </w:drawing>
      </w:r>
      <w:r>
        <w:rPr>
          <w:rFonts w:hint="eastAsia"/>
        </w:rPr>
        <w:t>本校2019届毕业生的就业现状满意度为67%，比2018届（74%）低7个百分点。</w:t>
      </w:r>
    </w:p>
    <w:p>
      <w:pPr>
        <w:pStyle w:val="6"/>
        <w:jc w:val="center"/>
        <w:rPr>
          <w:rFonts w:hint="eastAsia" w:ascii="Calibri" w:hAnsi="Calibri"/>
          <w:b w:val="0"/>
          <w:lang w:val="en-US" w:eastAsia="zh-CN"/>
        </w:rPr>
      </w:pPr>
    </w:p>
    <w:p>
      <w:pPr>
        <w:pStyle w:val="8"/>
        <w:numPr>
          <w:ilvl w:val="0"/>
          <w:numId w:val="0"/>
        </w:numPr>
        <w:spacing w:line="360" w:lineRule="auto"/>
        <w:jc w:val="center"/>
        <w:rPr>
          <w:rFonts w:hint="eastAsia" w:asciiTheme="minorEastAsia" w:hAnsiTheme="minorEastAsia" w:eastAsiaTheme="minorEastAsia" w:cstheme="minorEastAsia"/>
          <w:b/>
          <w:bCs/>
          <w:kern w:val="2"/>
          <w:sz w:val="21"/>
          <w:szCs w:val="21"/>
          <w:lang w:val="en-US" w:eastAsia="zh-CN" w:bidi="ar-SA"/>
        </w:rPr>
      </w:pPr>
      <w:bookmarkStart w:id="366" w:name="_Toc23442285"/>
      <w:r>
        <w:rPr>
          <w:rFonts w:hint="eastAsia" w:asciiTheme="minorEastAsia" w:hAnsiTheme="minorEastAsia" w:eastAsiaTheme="minorEastAsia" w:cstheme="minorEastAsia"/>
          <w:b/>
          <w:bCs/>
          <w:kern w:val="2"/>
          <w:sz w:val="21"/>
          <w:szCs w:val="21"/>
          <w:lang w:val="en-US" w:eastAsia="zh-CN" w:bidi="ar-SA"/>
        </w:rPr>
        <w:t>图 3-10就业现状满意度变化趋势</w:t>
      </w:r>
      <w:bookmarkEnd w:id="366"/>
    </w:p>
    <w:p>
      <w:pPr>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数据来源：麦可思-海南外国语职业学院2019届毕业生培养质量评价数据。</w:t>
      </w:r>
    </w:p>
    <w:p>
      <w:pPr>
        <w:spacing w:line="240" w:lineRule="auto"/>
        <w:jc w:val="left"/>
        <w:rPr>
          <w:rFonts w:ascii="Calibri" w:hAnsi="Calibri" w:cs="Arial"/>
          <w:kern w:val="0"/>
          <w:sz w:val="18"/>
          <w:szCs w:val="18"/>
        </w:rPr>
      </w:pPr>
    </w:p>
    <w:p>
      <w:pPr>
        <w:spacing w:line="240" w:lineRule="auto"/>
        <w:jc w:val="left"/>
        <w:rPr>
          <w:rFonts w:hint="eastAsia" w:ascii="Calibri" w:hAnsi="Calibri" w:cs="Arial"/>
          <w:kern w:val="0"/>
          <w:sz w:val="18"/>
          <w:szCs w:val="18"/>
        </w:rPr>
      </w:pPr>
    </w:p>
    <w:bookmarkEnd w:id="364"/>
    <w:p>
      <w:pPr>
        <w:spacing w:line="240" w:lineRule="auto"/>
        <w:jc w:val="left"/>
        <w:rPr>
          <w:rFonts w:ascii="Calibri" w:hAnsi="Calibri" w:cs="Arial"/>
          <w:kern w:val="0"/>
          <w:sz w:val="18"/>
          <w:szCs w:val="18"/>
        </w:rPr>
        <w:sectPr>
          <w:footnotePr>
            <w:numRestart w:val="eachPage"/>
          </w:footnotePr>
          <w:pgSz w:w="11906" w:h="16838"/>
          <w:pgMar w:top="1985" w:right="1531" w:bottom="1701" w:left="1701" w:header="964" w:footer="851" w:gutter="0"/>
          <w:pgNumType w:fmt="decimal"/>
          <w:cols w:space="425" w:num="1"/>
          <w:docGrid w:linePitch="312" w:charSpace="0"/>
        </w:sectPr>
      </w:pPr>
    </w:p>
    <w:p>
      <w:pPr>
        <w:pStyle w:val="7"/>
        <w:bidi w:val="0"/>
        <w:rPr>
          <w:rFonts w:hint="eastAsia"/>
        </w:rPr>
      </w:pPr>
      <w:bookmarkStart w:id="367" w:name="icb_108"/>
      <w:r>
        <w:rPr>
          <w:rFonts w:hint="eastAsia"/>
        </w:rPr>
        <w:t>与2018届相比，本校2019届就业现状满意度下降较多的院系是旅游系（7</w:t>
      </w:r>
      <w:r>
        <w:t>0%</w:t>
      </w:r>
      <w:r>
        <w:rPr>
          <w:rFonts w:hint="eastAsia"/>
        </w:rPr>
        <w:t>）、西语系（6</w:t>
      </w:r>
      <w:r>
        <w:t>9%</w:t>
      </w:r>
      <w:r>
        <w:rPr>
          <w:rFonts w:hint="eastAsia"/>
        </w:rPr>
        <w:t>）。</w:t>
      </w:r>
    </w:p>
    <w:p>
      <w:pPr>
        <w:jc w:val="center"/>
        <w:rPr>
          <w:rFonts w:ascii="Calibri" w:hAnsi="Calibri"/>
        </w:rPr>
      </w:pPr>
      <w:r>
        <w:rPr>
          <w:rFonts w:ascii="Calibri" w:hAnsi="Calibri"/>
        </w:rPr>
        <w:drawing>
          <wp:inline distT="0" distB="0" distL="114300" distR="114300">
            <wp:extent cx="5067300" cy="4152900"/>
            <wp:effectExtent l="0" t="0" r="0" b="0"/>
            <wp:docPr id="84"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图片 25"/>
                    <pic:cNvPicPr>
                      <a:picLocks noChangeAspect="1"/>
                    </pic:cNvPicPr>
                  </pic:nvPicPr>
                  <pic:blipFill>
                    <a:blip r:embed="rId65"/>
                    <a:stretch>
                      <a:fillRect/>
                    </a:stretch>
                  </pic:blipFill>
                  <pic:spPr>
                    <a:xfrm>
                      <a:off x="0" y="0"/>
                      <a:ext cx="5067300" cy="4152900"/>
                    </a:xfrm>
                    <a:prstGeom prst="rect">
                      <a:avLst/>
                    </a:prstGeom>
                    <a:noFill/>
                    <a:ln>
                      <a:noFill/>
                    </a:ln>
                  </pic:spPr>
                </pic:pic>
              </a:graphicData>
            </a:graphic>
          </wp:inline>
        </w:drawing>
      </w:r>
    </w:p>
    <w:p>
      <w:pPr>
        <w:pStyle w:val="8"/>
        <w:numPr>
          <w:ilvl w:val="0"/>
          <w:numId w:val="0"/>
        </w:numPr>
        <w:spacing w:line="360" w:lineRule="auto"/>
        <w:jc w:val="center"/>
        <w:rPr>
          <w:rFonts w:hint="eastAsia" w:asciiTheme="minorEastAsia" w:hAnsiTheme="minorEastAsia" w:eastAsiaTheme="minorEastAsia" w:cstheme="minorEastAsia"/>
          <w:b/>
          <w:bCs/>
          <w:kern w:val="2"/>
          <w:sz w:val="21"/>
          <w:szCs w:val="21"/>
          <w:lang w:val="en-US" w:eastAsia="zh-CN" w:bidi="ar-SA"/>
        </w:rPr>
      </w:pPr>
      <w:bookmarkStart w:id="368" w:name="_Toc23442286"/>
      <w:r>
        <w:rPr>
          <w:rFonts w:hint="eastAsia" w:asciiTheme="minorEastAsia" w:hAnsiTheme="minorEastAsia" w:eastAsiaTheme="minorEastAsia" w:cstheme="minorEastAsia"/>
          <w:b/>
          <w:bCs/>
          <w:kern w:val="2"/>
          <w:sz w:val="21"/>
          <w:szCs w:val="21"/>
          <w:lang w:val="en-US" w:eastAsia="zh-CN" w:bidi="ar-SA"/>
        </w:rPr>
        <w:t>图 3-11各院系毕业生的就业现状满意度、与本校2018届对比</w:t>
      </w:r>
      <w:bookmarkEnd w:id="368"/>
    </w:p>
    <w:p>
      <w:pPr>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数据来源：麦可思-海南外国语职业学院2019届毕业生培养质量评价数据。</w:t>
      </w:r>
    </w:p>
    <w:p>
      <w:pPr>
        <w:spacing w:line="240" w:lineRule="auto"/>
        <w:rPr>
          <w:rFonts w:ascii="Calibri" w:hAnsi="Calibri" w:cs="Arial"/>
          <w:kern w:val="0"/>
          <w:sz w:val="18"/>
          <w:szCs w:val="18"/>
        </w:rPr>
      </w:pPr>
    </w:p>
    <w:bookmarkEnd w:id="367"/>
    <w:p>
      <w:pPr>
        <w:spacing w:line="240" w:lineRule="auto"/>
        <w:rPr>
          <w:rFonts w:hint="eastAsia" w:ascii="Calibri" w:hAnsi="Calibri" w:cs="Arial"/>
          <w:szCs w:val="21"/>
        </w:rPr>
      </w:pPr>
    </w:p>
    <w:p>
      <w:pPr>
        <w:spacing w:line="240" w:lineRule="auto"/>
        <w:rPr>
          <w:rFonts w:ascii="Calibri" w:hAnsi="Calibri" w:cs="Arial"/>
          <w:kern w:val="0"/>
          <w:sz w:val="18"/>
          <w:szCs w:val="18"/>
        </w:rPr>
        <w:sectPr>
          <w:footnotePr>
            <w:numRestart w:val="eachPage"/>
          </w:footnotePr>
          <w:pgSz w:w="11906" w:h="16838"/>
          <w:pgMar w:top="1985" w:right="1531" w:bottom="1701" w:left="1701" w:header="964" w:footer="851" w:gutter="0"/>
          <w:pgNumType w:fmt="decimal"/>
          <w:cols w:space="425" w:num="1"/>
          <w:docGrid w:linePitch="312" w:charSpace="0"/>
        </w:sectPr>
      </w:pPr>
    </w:p>
    <w:p>
      <w:pPr>
        <w:pStyle w:val="7"/>
        <w:bidi w:val="0"/>
        <w:rPr>
          <w:rFonts w:hint="eastAsia"/>
          <w:lang w:eastAsia="zh-CN"/>
        </w:rPr>
      </w:pPr>
      <w:bookmarkStart w:id="369" w:name="icb_8022"/>
      <w:r>
        <w:rPr>
          <w:rFonts w:hint="eastAsia"/>
          <w:lang w:eastAsia="zh-CN"/>
        </w:rPr>
        <w:t>与2018届相比，本校2019届就业现状满意度有所上升的专业是应用英语（英语翻译）（76%）、商务英语（外贸业务）（67%）。</w:t>
      </w:r>
    </w:p>
    <w:p>
      <w:pPr>
        <w:jc w:val="center"/>
        <w:rPr>
          <w:rFonts w:ascii="Calibri" w:hAnsi="Calibri"/>
        </w:rPr>
      </w:pPr>
      <w:r>
        <w:rPr>
          <w:rFonts w:ascii="Calibri" w:hAnsi="Calibri"/>
        </w:rPr>
        <w:drawing>
          <wp:inline distT="0" distB="0" distL="114300" distR="114300">
            <wp:extent cx="5067300" cy="5962650"/>
            <wp:effectExtent l="0" t="0" r="0" b="0"/>
            <wp:docPr id="82"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图片 26"/>
                    <pic:cNvPicPr>
                      <a:picLocks noChangeAspect="1"/>
                    </pic:cNvPicPr>
                  </pic:nvPicPr>
                  <pic:blipFill>
                    <a:blip r:embed="rId66"/>
                    <a:stretch>
                      <a:fillRect/>
                    </a:stretch>
                  </pic:blipFill>
                  <pic:spPr>
                    <a:xfrm>
                      <a:off x="0" y="0"/>
                      <a:ext cx="5067300" cy="5962650"/>
                    </a:xfrm>
                    <a:prstGeom prst="rect">
                      <a:avLst/>
                    </a:prstGeom>
                    <a:noFill/>
                    <a:ln>
                      <a:noFill/>
                    </a:ln>
                  </pic:spPr>
                </pic:pic>
              </a:graphicData>
            </a:graphic>
          </wp:inline>
        </w:drawing>
      </w:r>
    </w:p>
    <w:p>
      <w:pPr>
        <w:pStyle w:val="8"/>
        <w:numPr>
          <w:ilvl w:val="0"/>
          <w:numId w:val="0"/>
        </w:numPr>
        <w:spacing w:line="360" w:lineRule="auto"/>
        <w:jc w:val="center"/>
        <w:rPr>
          <w:rFonts w:hint="eastAsia" w:asciiTheme="minorEastAsia" w:hAnsiTheme="minorEastAsia" w:eastAsiaTheme="minorEastAsia" w:cstheme="minorEastAsia"/>
          <w:b/>
          <w:bCs/>
          <w:kern w:val="2"/>
          <w:sz w:val="21"/>
          <w:szCs w:val="21"/>
          <w:lang w:val="en-US" w:eastAsia="zh-CN" w:bidi="ar-SA"/>
        </w:rPr>
      </w:pPr>
      <w:bookmarkStart w:id="370" w:name="_Toc23442287"/>
      <w:r>
        <w:rPr>
          <w:rFonts w:hint="eastAsia" w:asciiTheme="minorEastAsia" w:hAnsiTheme="minorEastAsia" w:eastAsiaTheme="minorEastAsia" w:cstheme="minorEastAsia"/>
          <w:b/>
          <w:bCs/>
          <w:kern w:val="2"/>
          <w:sz w:val="21"/>
          <w:szCs w:val="21"/>
          <w:lang w:val="en-US" w:eastAsia="zh-CN" w:bidi="ar-SA"/>
        </w:rPr>
        <w:t>图 3-12各专业毕业生的就业现状满意度、与本校2018届对比</w:t>
      </w:r>
      <w:bookmarkEnd w:id="370"/>
    </w:p>
    <w:p>
      <w:pPr>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注：个别专业因样本较少没有包括在内。</w:t>
      </w:r>
    </w:p>
    <w:p>
      <w:pPr>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数据来源：麦可思-海南外国语职业学院2019届毕业生培养质量评价数据。</w:t>
      </w:r>
    </w:p>
    <w:p>
      <w:pPr>
        <w:spacing w:line="240" w:lineRule="auto"/>
        <w:jc w:val="left"/>
        <w:rPr>
          <w:rFonts w:ascii="Calibri" w:hAnsi="Calibri" w:cs="Arial"/>
          <w:kern w:val="0"/>
          <w:sz w:val="18"/>
          <w:szCs w:val="18"/>
        </w:rPr>
      </w:pPr>
    </w:p>
    <w:bookmarkEnd w:id="369"/>
    <w:p>
      <w:pPr>
        <w:rPr>
          <w:rFonts w:ascii="Calibri" w:hAnsi="Calibri"/>
        </w:rPr>
      </w:pPr>
    </w:p>
    <w:p>
      <w:pPr>
        <w:spacing w:line="240" w:lineRule="auto"/>
        <w:jc w:val="left"/>
        <w:rPr>
          <w:rFonts w:hint="eastAsia" w:ascii="Calibri" w:hAnsi="Calibri" w:cs="Arial"/>
          <w:kern w:val="0"/>
          <w:sz w:val="18"/>
          <w:szCs w:val="18"/>
        </w:rPr>
      </w:pPr>
    </w:p>
    <w:p>
      <w:pPr>
        <w:pStyle w:val="4"/>
        <w:numPr>
          <w:ilvl w:val="0"/>
          <w:numId w:val="8"/>
        </w:numPr>
        <w:bidi w:val="0"/>
        <w:sectPr>
          <w:footnotePr>
            <w:numRestart w:val="eachPage"/>
          </w:footnotePr>
          <w:pgSz w:w="11906" w:h="16838"/>
          <w:pgMar w:top="1985" w:right="1531" w:bottom="1701" w:left="1701" w:header="964" w:footer="851" w:gutter="0"/>
          <w:pgNumType w:fmt="decimal"/>
          <w:cols w:space="425" w:num="1"/>
          <w:docGrid w:linePitch="312" w:charSpace="0"/>
        </w:sectPr>
      </w:pPr>
    </w:p>
    <w:bookmarkEnd w:id="365"/>
    <w:p>
      <w:pPr>
        <w:pStyle w:val="4"/>
        <w:bidi w:val="0"/>
        <w:ind w:left="0" w:leftChars="0" w:firstLine="400" w:firstLineChars="0"/>
        <w:rPr>
          <w:rFonts w:hint="eastAsia"/>
        </w:rPr>
      </w:pPr>
      <w:bookmarkStart w:id="371" w:name="_Toc23434196"/>
      <w:bookmarkStart w:id="372" w:name="_Toc5670"/>
      <w:bookmarkStart w:id="373" w:name="icb_112"/>
      <w:r>
        <w:rPr>
          <w:rFonts w:hint="eastAsia"/>
        </w:rPr>
        <w:t>职业期待吻合度变化趋势</w:t>
      </w:r>
      <w:bookmarkEnd w:id="371"/>
      <w:bookmarkEnd w:id="372"/>
    </w:p>
    <w:p>
      <w:pPr>
        <w:pStyle w:val="7"/>
        <w:bidi w:val="0"/>
        <w:rPr>
          <w:rFonts w:hint="eastAsia"/>
        </w:rPr>
      </w:pPr>
      <w:r>
        <w:rPr>
          <w:rFonts w:hint="eastAsia"/>
        </w:rPr>
        <w:t>本校2019届毕业生的职业期待吻合度为48%，比2018届（54%）低6个百分点。</w:t>
      </w:r>
    </w:p>
    <w:p>
      <w:pPr>
        <w:pStyle w:val="6"/>
        <w:jc w:val="center"/>
        <w:rPr>
          <w:rFonts w:hint="eastAsia" w:ascii="Calibri" w:hAnsi="Calibri"/>
          <w:b w:val="0"/>
          <w:lang w:val="en-US" w:eastAsia="zh-CN"/>
        </w:rPr>
      </w:pPr>
    </w:p>
    <w:p>
      <w:pPr>
        <w:pStyle w:val="8"/>
        <w:numPr>
          <w:ilvl w:val="0"/>
          <w:numId w:val="0"/>
        </w:numPr>
        <w:spacing w:line="360" w:lineRule="auto"/>
        <w:jc w:val="center"/>
        <w:rPr>
          <w:rFonts w:hint="eastAsia" w:asciiTheme="minorEastAsia" w:hAnsiTheme="minorEastAsia" w:eastAsiaTheme="minorEastAsia" w:cstheme="minorEastAsia"/>
          <w:b/>
          <w:bCs/>
          <w:kern w:val="2"/>
          <w:sz w:val="21"/>
          <w:szCs w:val="21"/>
          <w:lang w:val="en-US" w:eastAsia="zh-CN" w:bidi="ar-SA"/>
        </w:rPr>
      </w:pPr>
      <w:bookmarkStart w:id="374" w:name="_Toc23442288"/>
      <w:r>
        <w:rPr>
          <w:rFonts w:hint="eastAsia" w:asciiTheme="minorEastAsia" w:hAnsiTheme="minorEastAsia" w:eastAsiaTheme="minorEastAsia" w:cstheme="minorEastAsia"/>
          <w:b/>
          <w:bCs/>
          <w:kern w:val="2"/>
          <w:sz w:val="21"/>
          <w:szCs w:val="21"/>
          <w:lang w:val="en-US" w:eastAsia="zh-CN" w:bidi="ar-SA"/>
        </w:rPr>
        <w:drawing>
          <wp:anchor distT="0" distB="0" distL="114300" distR="114300" simplePos="0" relativeHeight="251659264" behindDoc="0" locked="0" layoutInCell="1" allowOverlap="1">
            <wp:simplePos x="0" y="0"/>
            <wp:positionH relativeFrom="column">
              <wp:posOffset>-51435</wp:posOffset>
            </wp:positionH>
            <wp:positionV relativeFrom="paragraph">
              <wp:posOffset>635</wp:posOffset>
            </wp:positionV>
            <wp:extent cx="5210175" cy="2514600"/>
            <wp:effectExtent l="0" t="0" r="0" b="0"/>
            <wp:wrapTopAndBottom/>
            <wp:docPr id="96"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图片 27"/>
                    <pic:cNvPicPr>
                      <a:picLocks noChangeAspect="1"/>
                    </pic:cNvPicPr>
                  </pic:nvPicPr>
                  <pic:blipFill>
                    <a:blip r:embed="rId67"/>
                    <a:stretch>
                      <a:fillRect/>
                    </a:stretch>
                  </pic:blipFill>
                  <pic:spPr>
                    <a:xfrm>
                      <a:off x="0" y="0"/>
                      <a:ext cx="5210175" cy="2514600"/>
                    </a:xfrm>
                    <a:prstGeom prst="rect">
                      <a:avLst/>
                    </a:prstGeom>
                    <a:noFill/>
                    <a:ln>
                      <a:noFill/>
                    </a:ln>
                  </pic:spPr>
                </pic:pic>
              </a:graphicData>
            </a:graphic>
          </wp:anchor>
        </w:drawing>
      </w:r>
      <w:r>
        <w:rPr>
          <w:rFonts w:hint="eastAsia" w:asciiTheme="minorEastAsia" w:hAnsiTheme="minorEastAsia" w:eastAsiaTheme="minorEastAsia" w:cstheme="minorEastAsia"/>
          <w:b/>
          <w:bCs/>
          <w:kern w:val="2"/>
          <w:sz w:val="21"/>
          <w:szCs w:val="21"/>
          <w:lang w:val="en-US" w:eastAsia="zh-CN" w:bidi="ar-SA"/>
        </w:rPr>
        <w:t>图 3-13职业期待吻合度变化趋势</w:t>
      </w:r>
      <w:bookmarkEnd w:id="374"/>
    </w:p>
    <w:p>
      <w:pPr>
        <w:jc w:val="left"/>
        <w:rPr>
          <w:rFonts w:hint="eastAsia" w:ascii="Calibri" w:hAnsi="Calibri"/>
          <w:color w:val="000000"/>
          <w:sz w:val="18"/>
        </w:rPr>
      </w:pPr>
      <w:r>
        <w:rPr>
          <w:rFonts w:hint="eastAsia" w:asciiTheme="minorEastAsia" w:hAnsiTheme="minorEastAsia" w:eastAsiaTheme="minorEastAsia" w:cstheme="minorEastAsia"/>
          <w:color w:val="000000"/>
          <w:sz w:val="21"/>
          <w:szCs w:val="21"/>
        </w:rPr>
        <w:t>数据来源：麦可思-海南外国语职业学院2019届毕业生培养质量评价数据。</w:t>
      </w:r>
      <w:bookmarkEnd w:id="373"/>
    </w:p>
    <w:p>
      <w:pPr>
        <w:jc w:val="left"/>
        <w:rPr>
          <w:rFonts w:hint="eastAsia" w:ascii="Calibri" w:hAnsi="Calibri"/>
          <w:color w:val="000000"/>
          <w:sz w:val="18"/>
        </w:rPr>
      </w:pPr>
    </w:p>
    <w:p>
      <w:pPr>
        <w:jc w:val="left"/>
        <w:rPr>
          <w:rFonts w:hint="eastAsia" w:ascii="Calibri" w:hAnsi="Calibri"/>
          <w:color w:val="000000"/>
          <w:sz w:val="18"/>
        </w:rPr>
      </w:pPr>
    </w:p>
    <w:p>
      <w:pPr>
        <w:pStyle w:val="7"/>
        <w:bidi w:val="0"/>
        <w:rPr>
          <w:rFonts w:hint="eastAsia"/>
          <w:lang w:eastAsia="zh-CN"/>
        </w:rPr>
      </w:pPr>
      <w:r>
        <w:rPr>
          <w:rFonts w:hint="eastAsia"/>
          <w:lang w:eastAsia="zh-CN"/>
        </w:rPr>
        <w:t>与2018届相比，本校2019届职业期待吻合度有所上升的专业是应用英语（英语翻译）（61%）、应用西班牙语（42%）。</w:t>
      </w:r>
    </w:p>
    <w:p>
      <w:pPr>
        <w:jc w:val="center"/>
        <w:rPr>
          <w:rFonts w:ascii="Calibri" w:hAnsi="Calibri"/>
        </w:rPr>
      </w:pPr>
      <w:r>
        <w:rPr>
          <w:rFonts w:ascii="Calibri" w:hAnsi="Calibri"/>
        </w:rPr>
        <w:drawing>
          <wp:inline distT="0" distB="0" distL="114300" distR="114300">
            <wp:extent cx="5067300" cy="5962650"/>
            <wp:effectExtent l="0" t="0" r="0" b="0"/>
            <wp:docPr id="97"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图片 28"/>
                    <pic:cNvPicPr>
                      <a:picLocks noChangeAspect="1"/>
                    </pic:cNvPicPr>
                  </pic:nvPicPr>
                  <pic:blipFill>
                    <a:blip r:embed="rId68"/>
                    <a:stretch>
                      <a:fillRect/>
                    </a:stretch>
                  </pic:blipFill>
                  <pic:spPr>
                    <a:xfrm>
                      <a:off x="0" y="0"/>
                      <a:ext cx="5067300" cy="5962650"/>
                    </a:xfrm>
                    <a:prstGeom prst="rect">
                      <a:avLst/>
                    </a:prstGeom>
                    <a:noFill/>
                    <a:ln>
                      <a:noFill/>
                    </a:ln>
                  </pic:spPr>
                </pic:pic>
              </a:graphicData>
            </a:graphic>
          </wp:inline>
        </w:drawing>
      </w:r>
    </w:p>
    <w:p>
      <w:pPr>
        <w:pStyle w:val="8"/>
        <w:numPr>
          <w:ilvl w:val="0"/>
          <w:numId w:val="0"/>
        </w:numPr>
        <w:spacing w:line="360" w:lineRule="auto"/>
        <w:jc w:val="center"/>
        <w:rPr>
          <w:rFonts w:hint="eastAsia" w:asciiTheme="minorEastAsia" w:hAnsiTheme="minorEastAsia" w:eastAsiaTheme="minorEastAsia" w:cstheme="minorEastAsia"/>
          <w:b/>
          <w:bCs/>
          <w:kern w:val="2"/>
          <w:sz w:val="21"/>
          <w:szCs w:val="21"/>
          <w:lang w:val="en-US" w:eastAsia="zh-CN" w:bidi="ar-SA"/>
        </w:rPr>
      </w:pPr>
      <w:bookmarkStart w:id="375" w:name="_Toc23442289"/>
      <w:r>
        <w:rPr>
          <w:rFonts w:hint="eastAsia" w:asciiTheme="minorEastAsia" w:hAnsiTheme="minorEastAsia" w:eastAsiaTheme="minorEastAsia" w:cstheme="minorEastAsia"/>
          <w:b/>
          <w:bCs/>
          <w:kern w:val="2"/>
          <w:sz w:val="21"/>
          <w:szCs w:val="21"/>
          <w:lang w:val="en-US" w:eastAsia="zh-CN" w:bidi="ar-SA"/>
        </w:rPr>
        <w:t>图 3-14各专业毕业生的职业期待吻合度、与本校2018届对比</w:t>
      </w:r>
      <w:bookmarkEnd w:id="375"/>
    </w:p>
    <w:p>
      <w:pPr>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注：个别专业因样本较少没有包括在内。</w:t>
      </w:r>
    </w:p>
    <w:p>
      <w:pPr>
        <w:jc w:val="left"/>
        <w:rPr>
          <w:rFonts w:hint="eastAsia" w:asciiTheme="minorEastAsia" w:hAnsiTheme="minorEastAsia" w:eastAsiaTheme="minorEastAsia" w:cstheme="minorEastAsia"/>
          <w:color w:val="000000"/>
          <w:sz w:val="21"/>
          <w:szCs w:val="21"/>
        </w:rPr>
        <w:sectPr>
          <w:footnotePr>
            <w:numRestart w:val="eachPage"/>
          </w:footnotePr>
          <w:pgSz w:w="11906" w:h="16838"/>
          <w:pgMar w:top="1985" w:right="1531" w:bottom="1701" w:left="1701" w:header="964" w:footer="851" w:gutter="0"/>
          <w:pgNumType w:fmt="decimal"/>
          <w:cols w:space="425" w:num="1"/>
          <w:docGrid w:linePitch="312" w:charSpace="0"/>
        </w:sectPr>
      </w:pPr>
      <w:r>
        <w:rPr>
          <w:rFonts w:hint="eastAsia" w:asciiTheme="minorEastAsia" w:hAnsiTheme="minorEastAsia" w:eastAsiaTheme="minorEastAsia" w:cstheme="minorEastAsia"/>
          <w:color w:val="000000"/>
          <w:sz w:val="21"/>
          <w:szCs w:val="21"/>
        </w:rPr>
        <w:t>数据来源：麦可思-海南外国语职业学院2019届毕业生培养质量评价数据。</w:t>
      </w:r>
    </w:p>
    <w:p>
      <w:pPr>
        <w:widowControl w:val="0"/>
        <w:numPr>
          <w:ilvl w:val="0"/>
          <w:numId w:val="0"/>
        </w:numPr>
        <w:jc w:val="both"/>
      </w:pPr>
    </w:p>
    <w:p>
      <w:pPr>
        <w:pStyle w:val="2"/>
        <w:bidi w:val="0"/>
        <w:ind w:left="0" w:leftChars="0" w:firstLine="0" w:firstLineChars="0"/>
      </w:pPr>
      <w:bookmarkStart w:id="376" w:name="_Toc22687_WPSOffice_Level1"/>
      <w:bookmarkStart w:id="377" w:name="_Toc12300_WPSOffice_Level1"/>
      <w:bookmarkStart w:id="378" w:name="_Toc17142"/>
      <w:bookmarkStart w:id="379" w:name="_Toc24129"/>
      <w:bookmarkStart w:id="380" w:name="_Toc532230120"/>
      <w:bookmarkStart w:id="381" w:name="_Toc436646145"/>
      <w:bookmarkStart w:id="382" w:name="_Toc532230206"/>
      <w:bookmarkStart w:id="383" w:name="_Toc19465_WPSOffice_Level1"/>
      <w:bookmarkStart w:id="384" w:name="_Toc25877_WPSOffice_Level1"/>
      <w:r>
        <w:rPr>
          <w:rFonts w:hint="eastAsia"/>
          <w:lang w:val="en-US" w:eastAsia="zh-CN"/>
        </w:rPr>
        <w:t xml:space="preserve"> </w:t>
      </w:r>
      <w:r>
        <w:rPr>
          <w:rFonts w:hint="eastAsia"/>
        </w:rPr>
        <w:t>促进毕业生就业工作的主要举措</w:t>
      </w:r>
      <w:bookmarkEnd w:id="376"/>
      <w:bookmarkEnd w:id="377"/>
      <w:bookmarkEnd w:id="378"/>
    </w:p>
    <w:p>
      <w:pPr>
        <w:spacing w:line="360" w:lineRule="auto"/>
        <w:jc w:val="center"/>
        <w:rPr>
          <w:rFonts w:ascii="黑体" w:hAnsi="Calibri" w:eastAsia="黑体" w:cs="宋体"/>
          <w:b/>
          <w:bCs/>
          <w:sz w:val="18"/>
          <w:szCs w:val="18"/>
        </w:rPr>
      </w:pPr>
    </w:p>
    <w:p>
      <w:pPr>
        <w:pStyle w:val="3"/>
        <w:bidi w:val="0"/>
        <w:ind w:left="0" w:leftChars="0" w:firstLine="643" w:firstLineChars="200"/>
        <w:jc w:val="left"/>
        <w:rPr>
          <w:rFonts w:hint="eastAsia" w:ascii="黑体" w:hAnsi="黑体" w:eastAsia="黑体" w:cs="黑体"/>
        </w:rPr>
      </w:pPr>
      <w:bookmarkStart w:id="385" w:name="_Toc11297_WPSOffice_Level2"/>
      <w:bookmarkStart w:id="386" w:name="_Toc24563_WPSOffice_Level2"/>
      <w:bookmarkStart w:id="387" w:name="_Toc11951"/>
      <w:r>
        <w:rPr>
          <w:rFonts w:hint="eastAsia" w:ascii="黑体" w:hAnsi="黑体" w:eastAsia="黑体" w:cs="黑体"/>
        </w:rPr>
        <w:t>实施“一把手”工程</w:t>
      </w:r>
      <w:r>
        <w:rPr>
          <w:rFonts w:hint="eastAsia" w:ascii="黑体" w:hAnsi="黑体" w:eastAsia="黑体" w:cs="黑体"/>
          <w:lang w:val="en-US" w:eastAsia="zh-CN"/>
        </w:rPr>
        <w:t>,</w:t>
      </w:r>
      <w:r>
        <w:rPr>
          <w:rFonts w:hint="eastAsia" w:ascii="黑体" w:hAnsi="黑体" w:eastAsia="黑体" w:cs="黑体"/>
        </w:rPr>
        <w:t>切实加强对就业工作的领导</w:t>
      </w:r>
      <w:bookmarkEnd w:id="385"/>
      <w:bookmarkEnd w:id="386"/>
      <w:bookmarkEnd w:id="387"/>
    </w:p>
    <w:p>
      <w:pPr>
        <w:pStyle w:val="7"/>
        <w:bidi w:val="0"/>
        <w:rPr>
          <w:lang w:val="zh-CN"/>
        </w:rPr>
      </w:pPr>
      <w:r>
        <w:rPr>
          <w:rFonts w:hint="eastAsia"/>
          <w:lang w:val="zh-CN"/>
        </w:rPr>
        <w:t>学院党政高度重视就业工作，把毕业生的就业情况纳入衡量学院办学质量的重要考核指标，将就业工作列入工作重要议事日程，纳入学院全面发展的总体部署。</w:t>
      </w:r>
    </w:p>
    <w:p>
      <w:pPr>
        <w:pStyle w:val="7"/>
        <w:bidi w:val="0"/>
        <w:rPr>
          <w:rFonts w:hint="eastAsia"/>
          <w:lang w:val="zh-CN"/>
        </w:rPr>
      </w:pPr>
      <w:r>
        <w:rPr>
          <w:rFonts w:hint="eastAsia"/>
          <w:lang w:val="zh-CN"/>
        </w:rPr>
        <w:t>学院书记、院长亲自关心过问，副</w:t>
      </w:r>
      <w:r>
        <w:rPr>
          <w:rFonts w:hint="eastAsia"/>
          <w:lang w:val="zh-CN" w:eastAsia="zh-CN"/>
        </w:rPr>
        <w:t>书记</w:t>
      </w:r>
      <w:r>
        <w:rPr>
          <w:rFonts w:hint="eastAsia"/>
          <w:lang w:val="zh-CN"/>
        </w:rPr>
        <w:t>主管就业工作。各系成立就业领导小组，系（部）党、政主要负责人担任组长，并配齐实训就业指导员。我院多次召开就业创业工作会议 推进学生“精准就业”。</w:t>
      </w:r>
    </w:p>
    <w:p>
      <w:pPr>
        <w:rPr>
          <w:rFonts w:hint="eastAsia"/>
          <w:lang w:val="zh-CN"/>
        </w:rPr>
      </w:pPr>
    </w:p>
    <w:p>
      <w:pPr>
        <w:pStyle w:val="3"/>
        <w:bidi w:val="0"/>
        <w:ind w:left="0" w:leftChars="0" w:firstLine="421" w:firstLineChars="131"/>
        <w:jc w:val="left"/>
        <w:rPr>
          <w:rFonts w:hint="eastAsia" w:ascii="黑体" w:hAnsi="黑体" w:eastAsia="黑体" w:cs="黑体"/>
        </w:rPr>
      </w:pPr>
      <w:bookmarkStart w:id="388" w:name="_Toc23610"/>
      <w:r>
        <w:rPr>
          <w:rFonts w:hint="eastAsia" w:ascii="黑体" w:hAnsi="黑体" w:eastAsia="黑体" w:cs="黑体"/>
        </w:rPr>
        <w:t>建立就业创业工作考核评估奖励机制</w:t>
      </w:r>
      <w:r>
        <w:rPr>
          <w:rFonts w:hint="eastAsia" w:ascii="黑体" w:hAnsi="黑体" w:eastAsia="黑体" w:cs="黑体"/>
          <w:lang w:val="en-US" w:eastAsia="zh-CN"/>
        </w:rPr>
        <w:t>,</w:t>
      </w:r>
      <w:r>
        <w:rPr>
          <w:rFonts w:hint="eastAsia" w:ascii="黑体" w:hAnsi="黑体" w:eastAsia="黑体" w:cs="黑体"/>
        </w:rPr>
        <w:t>激发就业工作积极性</w:t>
      </w:r>
      <w:bookmarkEnd w:id="388"/>
    </w:p>
    <w:p>
      <w:pPr>
        <w:pStyle w:val="7"/>
        <w:bidi w:val="0"/>
        <w:rPr>
          <w:rFonts w:hint="eastAsia"/>
          <w:lang w:val="zh-CN"/>
        </w:rPr>
      </w:pPr>
      <w:r>
        <w:rPr>
          <w:rFonts w:hint="eastAsia"/>
          <w:lang w:val="zh-CN"/>
        </w:rPr>
        <w:t>为进一步强化各系（部）做好就业创业工作的责任意识，激发全体教职工参与就业创业工作的积极性和主动性，不断优化就业创业环境和条件，学院从每年</w:t>
      </w:r>
      <w:r>
        <w:rPr>
          <w:rFonts w:hint="eastAsia"/>
          <w:lang w:val="en-US" w:eastAsia="zh-CN"/>
        </w:rPr>
        <w:t>8</w:t>
      </w:r>
      <w:r>
        <w:rPr>
          <w:rFonts w:hint="eastAsia"/>
          <w:lang w:val="zh-CN"/>
        </w:rPr>
        <w:t>%的绩效工资总额中安排1</w:t>
      </w:r>
      <w:r>
        <w:rPr>
          <w:rFonts w:hint="eastAsia"/>
          <w:lang w:val="en-US" w:eastAsia="zh-CN"/>
        </w:rPr>
        <w:t>0</w:t>
      </w:r>
      <w:r>
        <w:rPr>
          <w:rFonts w:hint="eastAsia"/>
          <w:lang w:val="zh-CN"/>
        </w:rPr>
        <w:t>%设为就业创业工作奖励性绩效创优奖，用于奖励就业、创业工作表现突出的部门和工作人员。学院制定了《海南外国语职业学院201</w:t>
      </w:r>
      <w:r>
        <w:rPr>
          <w:rFonts w:hint="eastAsia"/>
          <w:lang w:val="en-US" w:eastAsia="zh-CN"/>
        </w:rPr>
        <w:t>9</w:t>
      </w:r>
      <w:r>
        <w:rPr>
          <w:rFonts w:hint="eastAsia"/>
          <w:lang w:val="zh-CN"/>
        </w:rPr>
        <w:t>年学生就业创业工作奖励方案》，分别从先进系部、先进个人、初次就业率达标、年终考核等方面对系部就业创业工作进行总考核。促进了各系（部）毕业生初次就业跟踪调查、年度就业创业的工作积极性，提升学院的创新创业能力以及毕业生的就业率和就业质量。</w:t>
      </w:r>
    </w:p>
    <w:p>
      <w:pPr>
        <w:rPr>
          <w:rFonts w:hint="eastAsia"/>
          <w:lang w:val="zh-CN"/>
        </w:rPr>
      </w:pPr>
    </w:p>
    <w:p>
      <w:pPr>
        <w:spacing w:line="360" w:lineRule="auto"/>
        <w:ind w:firstLine="480" w:firstLineChars="200"/>
        <w:rPr>
          <w:rFonts w:hint="eastAsia" w:asciiTheme="minorEastAsia" w:hAnsiTheme="minorEastAsia" w:eastAsiaTheme="minorEastAsia" w:cstheme="minorEastAsia"/>
          <w:sz w:val="24"/>
          <w:lang w:val="zh-CN"/>
        </w:rPr>
      </w:pPr>
    </w:p>
    <w:p>
      <w:pPr>
        <w:pStyle w:val="3"/>
        <w:numPr>
          <w:ilvl w:val="1"/>
          <w:numId w:val="0"/>
        </w:numPr>
        <w:bidi w:val="0"/>
        <w:ind w:leftChars="131" w:firstLine="321" w:firstLineChars="100"/>
        <w:jc w:val="left"/>
        <w:rPr>
          <w:rFonts w:hint="eastAsia" w:ascii="黑体" w:hAnsi="黑体" w:eastAsia="黑体" w:cs="黑体"/>
          <w:lang w:val="en-US" w:eastAsia="zh-CN"/>
        </w:rPr>
      </w:pPr>
      <w:bookmarkStart w:id="389" w:name="_Toc26453_WPSOffice_Level2"/>
      <w:bookmarkStart w:id="390" w:name="_Toc7403_WPSOffice_Level2"/>
      <w:bookmarkStart w:id="391" w:name="_Toc27618"/>
      <w:r>
        <w:rPr>
          <w:rFonts w:hint="eastAsia" w:ascii="黑体" w:hAnsi="黑体" w:eastAsia="黑体" w:cs="黑体"/>
          <w:lang w:val="zh-CN"/>
        </w:rPr>
        <w:t>三、多途径收集就业信息，</w:t>
      </w:r>
      <w:bookmarkEnd w:id="389"/>
      <w:r>
        <w:rPr>
          <w:rFonts w:hint="eastAsia" w:ascii="黑体" w:hAnsi="黑体" w:eastAsia="黑体" w:cs="黑体"/>
          <w:lang w:val="zh-CN"/>
        </w:rPr>
        <w:t>多方位拓宽就业渠道</w:t>
      </w:r>
      <w:bookmarkEnd w:id="390"/>
      <w:bookmarkEnd w:id="391"/>
    </w:p>
    <w:p>
      <w:pPr>
        <w:pStyle w:val="4"/>
        <w:numPr>
          <w:ilvl w:val="2"/>
          <w:numId w:val="0"/>
        </w:numPr>
        <w:bidi w:val="0"/>
        <w:ind w:left="400" w:leftChars="0"/>
        <w:rPr>
          <w:rFonts w:hint="eastAsia" w:eastAsia="楷体"/>
          <w:lang w:val="en-US" w:eastAsia="zh-CN"/>
        </w:rPr>
      </w:pPr>
      <w:bookmarkStart w:id="392" w:name="_Toc28980_WPSOffice_Level3"/>
      <w:bookmarkStart w:id="393" w:name="_Toc29888"/>
      <w:r>
        <w:rPr>
          <w:rFonts w:hint="eastAsia"/>
          <w:lang w:eastAsia="zh-CN"/>
        </w:rPr>
        <w:t>（一）</w:t>
      </w:r>
      <w:r>
        <w:rPr>
          <w:rFonts w:hint="eastAsia"/>
        </w:rPr>
        <w:t>积极举办招聘会</w:t>
      </w:r>
      <w:r>
        <w:rPr>
          <w:rFonts w:hint="eastAsia"/>
          <w:lang w:val="en-US" w:eastAsia="zh-CN"/>
        </w:rPr>
        <w:t>,</w:t>
      </w:r>
      <w:r>
        <w:rPr>
          <w:rFonts w:hint="eastAsia"/>
        </w:rPr>
        <w:t>促进学生就业</w:t>
      </w:r>
      <w:bookmarkEnd w:id="392"/>
      <w:bookmarkEnd w:id="393"/>
    </w:p>
    <w:p>
      <w:pPr>
        <w:pStyle w:val="7"/>
        <w:bidi w:val="0"/>
        <w:rPr>
          <w:rFonts w:hint="default"/>
          <w:lang w:val="en-US" w:eastAsia="zh-CN"/>
        </w:rPr>
      </w:pPr>
      <w:r>
        <w:rPr>
          <w:rFonts w:hint="default"/>
          <w:lang w:val="en-US" w:eastAsia="zh-CN"/>
        </w:rPr>
        <w:t>5月12日</w:t>
      </w:r>
      <w:r>
        <w:rPr>
          <w:rFonts w:hint="eastAsia"/>
          <w:lang w:val="en-US" w:eastAsia="zh-CN"/>
        </w:rPr>
        <w:t>，我院</w:t>
      </w:r>
      <w:r>
        <w:rPr>
          <w:rFonts w:hint="default"/>
          <w:lang w:val="en-US" w:eastAsia="zh-CN"/>
        </w:rPr>
        <w:t>英语系</w:t>
      </w:r>
      <w:r>
        <w:rPr>
          <w:rFonts w:hint="eastAsia"/>
          <w:lang w:val="en-US" w:eastAsia="zh-CN"/>
        </w:rPr>
        <w:t>、旅游系</w:t>
      </w:r>
      <w:r>
        <w:rPr>
          <w:rFonts w:hint="default"/>
          <w:lang w:val="en-US" w:eastAsia="zh-CN"/>
        </w:rPr>
        <w:t>举办2019届</w:t>
      </w:r>
      <w:r>
        <w:rPr>
          <w:rFonts w:hint="eastAsia"/>
          <w:lang w:val="en-US" w:eastAsia="zh-CN"/>
        </w:rPr>
        <w:t>毕业生及2020届实习生</w:t>
      </w:r>
      <w:r>
        <w:rPr>
          <w:rFonts w:hint="default"/>
          <w:lang w:val="en-US" w:eastAsia="zh-CN"/>
        </w:rPr>
        <w:t>专场招聘会。来自</w:t>
      </w:r>
      <w:r>
        <w:rPr>
          <w:rFonts w:hint="eastAsia"/>
          <w:lang w:val="en-US" w:eastAsia="zh-CN"/>
        </w:rPr>
        <w:t>上海、</w:t>
      </w:r>
      <w:r>
        <w:rPr>
          <w:rFonts w:hint="default"/>
          <w:lang w:val="en-US" w:eastAsia="zh-CN"/>
        </w:rPr>
        <w:t>广东、海南的共4</w:t>
      </w:r>
      <w:r>
        <w:rPr>
          <w:rFonts w:hint="eastAsia"/>
          <w:lang w:val="en-US" w:eastAsia="zh-CN"/>
        </w:rPr>
        <w:t>8</w:t>
      </w:r>
      <w:r>
        <w:rPr>
          <w:rFonts w:hint="default"/>
          <w:lang w:val="en-US" w:eastAsia="zh-CN"/>
        </w:rPr>
        <w:t>家企业参加供需见面会。招聘岗位主要有英语教师、幼师、早教老师，也有酒店接待员、</w:t>
      </w:r>
      <w:r>
        <w:rPr>
          <w:rFonts w:hint="eastAsia"/>
          <w:lang w:val="en-US" w:eastAsia="zh-CN"/>
        </w:rPr>
        <w:t>电商客服专员</w:t>
      </w:r>
      <w:r>
        <w:rPr>
          <w:rFonts w:hint="default"/>
          <w:lang w:val="en-US" w:eastAsia="zh-CN"/>
        </w:rPr>
        <w:t>等多个领域</w:t>
      </w:r>
      <w:r>
        <w:rPr>
          <w:rFonts w:hint="eastAsia"/>
          <w:lang w:val="en-US" w:eastAsia="zh-CN"/>
        </w:rPr>
        <w:t>400多</w:t>
      </w:r>
      <w:r>
        <w:rPr>
          <w:rFonts w:hint="default"/>
          <w:lang w:val="en-US" w:eastAsia="zh-CN"/>
        </w:rPr>
        <w:t>个就业岗位，为我院学生提供了多方向的就业选择。</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 w:cs="Times New Roman"/>
          <w:kern w:val="2"/>
          <w:sz w:val="32"/>
          <w:szCs w:val="24"/>
          <w:lang w:val="zh-CN" w:eastAsia="zh-CN" w:bidi="ar-SA"/>
        </w:rPr>
      </w:pPr>
      <w:r>
        <w:rPr>
          <w:rFonts w:hint="eastAsia" w:ascii="Times New Roman" w:hAnsi="Times New Roman" w:eastAsia="仿宋" w:cs="Times New Roman"/>
          <w:kern w:val="2"/>
          <w:sz w:val="32"/>
          <w:szCs w:val="24"/>
          <w:lang w:val="en-US" w:eastAsia="zh-CN" w:bidi="ar-SA"/>
        </w:rPr>
        <w:t>11月22日，由海南省人力资源开发局和我院联合主办，文昌市就业局、海南天涯人力资源管理服务有限公司协办的我院2020届毕业生供需见面会暨海南青年就业实习招聘会在我院体艺馆举办。此次招聘会共吸引了127家用人单位前来招聘，为我院2020届毕业生提供2271个岗位，涵盖旅游、教育培训、酒店、外贸等行业。招聘会现场气氛热烈，我院同时还设立职业发展咨询专席，对毕业生未来职业发展答疑解惑。</w:t>
      </w:r>
    </w:p>
    <w:p>
      <w:pPr>
        <w:pStyle w:val="4"/>
        <w:numPr>
          <w:ilvl w:val="2"/>
          <w:numId w:val="0"/>
        </w:numPr>
        <w:bidi w:val="0"/>
        <w:ind w:left="0" w:leftChars="0" w:firstLine="402" w:firstLineChars="125"/>
      </w:pPr>
      <w:r>
        <w:rPr>
          <w:rFonts w:hint="eastAsia"/>
          <w:lang w:eastAsia="zh-CN"/>
        </w:rPr>
        <w:t>（二）</w:t>
      </w:r>
      <w:r>
        <w:rPr>
          <w:rFonts w:hint="eastAsia"/>
        </w:rPr>
        <w:t>引导毕业生到基层服务民众，鼓励毕业生参军入伍报效祖国</w:t>
      </w:r>
    </w:p>
    <w:p>
      <w:pPr>
        <w:pStyle w:val="7"/>
        <w:bidi w:val="0"/>
        <w:rPr>
          <w:rFonts w:hint="eastAsia"/>
          <w:lang w:val="zh-CN"/>
        </w:rPr>
      </w:pPr>
      <w:r>
        <w:rPr>
          <w:rFonts w:hint="eastAsia"/>
          <w:lang w:val="zh-CN"/>
        </w:rPr>
        <w:t>学院高度重视大学生毕业后到基层就业工作，把大学生毕业后到基层工作作为解决基层用人单位招工困难、扶持基层单位工作、拓宽毕业生就业门路等问题的重要措施来抓。201</w:t>
      </w:r>
      <w:r>
        <w:rPr>
          <w:rFonts w:hint="eastAsia"/>
          <w:lang w:val="en-US" w:eastAsia="zh-CN"/>
        </w:rPr>
        <w:t>9</w:t>
      </w:r>
      <w:r>
        <w:rPr>
          <w:rFonts w:hint="eastAsia"/>
          <w:lang w:val="zh-CN"/>
        </w:rPr>
        <w:t>年学院有</w:t>
      </w:r>
      <w:r>
        <w:rPr>
          <w:rFonts w:hint="eastAsia"/>
          <w:lang w:val="en-US" w:eastAsia="zh-CN"/>
        </w:rPr>
        <w:t>26</w:t>
      </w:r>
      <w:r>
        <w:rPr>
          <w:rFonts w:hint="eastAsia"/>
          <w:lang w:val="zh-CN"/>
        </w:rPr>
        <w:t>名应用英语专业（少儿师资方向）毕业生到我院扶贫定点单位定安县祖坡小学和琼中各乡镇小学支教，有1</w:t>
      </w:r>
      <w:r>
        <w:rPr>
          <w:rFonts w:hint="eastAsia"/>
          <w:lang w:val="en-US" w:eastAsia="zh-CN"/>
        </w:rPr>
        <w:t>2</w:t>
      </w:r>
      <w:r>
        <w:rPr>
          <w:rFonts w:hint="eastAsia"/>
          <w:lang w:val="zh-CN"/>
        </w:rPr>
        <w:t>名毕业生应征入伍服义务兵役。201</w:t>
      </w:r>
      <w:r>
        <w:rPr>
          <w:rFonts w:hint="eastAsia"/>
          <w:lang w:val="en-US" w:eastAsia="zh-CN"/>
        </w:rPr>
        <w:t>9</w:t>
      </w:r>
      <w:r>
        <w:rPr>
          <w:rFonts w:hint="eastAsia"/>
          <w:lang w:val="zh-CN"/>
        </w:rPr>
        <w:t>年学院资助高校服义务兵役学生</w:t>
      </w:r>
      <w:r>
        <w:rPr>
          <w:rFonts w:hint="eastAsia"/>
          <w:lang w:val="en-US" w:eastAsia="zh-CN"/>
        </w:rPr>
        <w:t>9</w:t>
      </w:r>
      <w:r>
        <w:rPr>
          <w:rFonts w:hint="eastAsia"/>
          <w:lang w:val="zh-CN"/>
        </w:rPr>
        <w:t>人，资助学费</w:t>
      </w:r>
      <w:r>
        <w:rPr>
          <w:rFonts w:hint="eastAsia"/>
          <w:lang w:val="en-US" w:eastAsia="zh-CN"/>
        </w:rPr>
        <w:t>13.5</w:t>
      </w:r>
      <w:r>
        <w:rPr>
          <w:rFonts w:hint="eastAsia"/>
          <w:lang w:val="zh-CN"/>
        </w:rPr>
        <w:t>万元。</w:t>
      </w:r>
    </w:p>
    <w:p>
      <w:pPr>
        <w:rPr>
          <w:rFonts w:hint="eastAsia"/>
          <w:lang w:val="zh-CN"/>
        </w:rPr>
      </w:pPr>
    </w:p>
    <w:p>
      <w:pPr>
        <w:pStyle w:val="4"/>
        <w:numPr>
          <w:ilvl w:val="2"/>
          <w:numId w:val="0"/>
        </w:numPr>
        <w:bidi w:val="0"/>
        <w:ind w:left="0" w:leftChars="0" w:firstLine="421" w:firstLineChars="131"/>
      </w:pPr>
      <w:bookmarkStart w:id="394" w:name="_Toc989_WPSOffice_Level3"/>
      <w:r>
        <w:rPr>
          <w:rFonts w:hint="eastAsia"/>
          <w:lang w:eastAsia="zh-CN"/>
        </w:rPr>
        <w:t>（三）</w:t>
      </w:r>
      <w:r>
        <w:rPr>
          <w:rFonts w:hint="eastAsia"/>
        </w:rPr>
        <w:t>发挥外字特色，鼓励学生境外就业</w:t>
      </w:r>
    </w:p>
    <w:p>
      <w:pPr>
        <w:pStyle w:val="7"/>
        <w:bidi w:val="0"/>
        <w:rPr>
          <w:rFonts w:hint="eastAsia"/>
          <w:lang w:val="zh-CN"/>
        </w:rPr>
      </w:pPr>
      <w:r>
        <w:rPr>
          <w:rFonts w:hint="eastAsia"/>
          <w:lang w:val="zh-CN"/>
        </w:rPr>
        <w:t>我院始终坚持“为区域经济和社会发展服务”的办学宗旨，紧扣国家“一带一路”战略和海南国际旅游岛建设对外语人才的需求，致力于培养具有国际视野、人文情怀、外语特长、职业技能的“外语+技能”复合型实用人才。我院共开设英语、俄语、葡萄牙和阿拉伯语等17个语种，力争在每一个母语国家建立实训就业基地。201</w:t>
      </w:r>
      <w:r>
        <w:rPr>
          <w:rFonts w:hint="eastAsia"/>
          <w:lang w:val="en-US" w:eastAsia="zh-CN"/>
        </w:rPr>
        <w:t>7</w:t>
      </w:r>
      <w:r>
        <w:rPr>
          <w:rFonts w:hint="eastAsia"/>
          <w:lang w:val="zh-CN"/>
        </w:rPr>
        <w:t>年至201</w:t>
      </w:r>
      <w:r>
        <w:rPr>
          <w:rFonts w:hint="eastAsia"/>
          <w:lang w:val="en-US" w:eastAsia="zh-CN"/>
        </w:rPr>
        <w:t>9</w:t>
      </w:r>
      <w:r>
        <w:rPr>
          <w:rFonts w:hint="eastAsia"/>
          <w:lang w:val="zh-CN"/>
        </w:rPr>
        <w:t>年，学院先后向阿联酋、新加坡、德国、马尔代夫、俄罗斯、迪拜、葡萄牙、毛利塔米亚、日本、美国、韩国、泰国等国家派出</w:t>
      </w:r>
      <w:r>
        <w:rPr>
          <w:rFonts w:hint="eastAsia"/>
          <w:lang w:val="en-US" w:eastAsia="zh-CN"/>
        </w:rPr>
        <w:t>260</w:t>
      </w:r>
      <w:r>
        <w:rPr>
          <w:rFonts w:hint="eastAsia"/>
          <w:lang w:val="zh-CN"/>
        </w:rPr>
        <w:t>位学生到境外就业。充分体现我院“外字当头”的办学特色，并以服务国家“一带一路”为己任的社会责任。</w:t>
      </w:r>
    </w:p>
    <w:p>
      <w:pPr>
        <w:rPr>
          <w:rFonts w:hint="eastAsia"/>
          <w:lang w:val="zh-CN"/>
        </w:rPr>
      </w:pPr>
    </w:p>
    <w:p>
      <w:pPr>
        <w:pStyle w:val="4"/>
        <w:numPr>
          <w:ilvl w:val="2"/>
          <w:numId w:val="0"/>
        </w:numPr>
        <w:bidi w:val="0"/>
        <w:ind w:left="0" w:leftChars="0" w:firstLine="421" w:firstLineChars="131"/>
      </w:pPr>
      <w:r>
        <w:rPr>
          <w:rFonts w:hint="eastAsia"/>
          <w:lang w:eastAsia="zh-CN"/>
        </w:rPr>
        <w:t>（四）</w:t>
      </w:r>
      <w:r>
        <w:rPr>
          <w:rFonts w:hint="eastAsia"/>
        </w:rPr>
        <w:t>完善毕业生就业平台建设、加强就业信息化管理</w:t>
      </w:r>
    </w:p>
    <w:p>
      <w:pPr>
        <w:pStyle w:val="7"/>
        <w:bidi w:val="0"/>
        <w:rPr>
          <w:lang w:val="zh-CN"/>
        </w:rPr>
        <w:sectPr>
          <w:footnotePr>
            <w:numRestart w:val="eachPage"/>
          </w:footnotePr>
          <w:pgSz w:w="11906" w:h="16838"/>
          <w:pgMar w:top="1985" w:right="1531" w:bottom="1701" w:left="1701" w:header="964" w:footer="851" w:gutter="0"/>
          <w:pgNumType w:fmt="decimal"/>
          <w:cols w:space="425" w:num="1"/>
          <w:docGrid w:linePitch="312" w:charSpace="0"/>
        </w:sectPr>
      </w:pPr>
      <w:r>
        <w:rPr>
          <w:rFonts w:hint="eastAsia"/>
          <w:lang w:val="zh-CN"/>
        </w:rPr>
        <w:t>完善就业信息网络建设，提高就业工作信息化水平。为使学院就业信息网功能齐、内容全、信息及时，我院创建了海南外国语就业创业公众号，使得就业咨询发布多元化、提升招聘信息发布的质量、受到了学生的热烈欢迎</w:t>
      </w:r>
      <w:bookmarkEnd w:id="394"/>
      <w:bookmarkStart w:id="395" w:name="_Toc8980_WPSOffice_Level2"/>
      <w:bookmarkStart w:id="396" w:name="_Toc22408_WPSOffice_Level2"/>
    </w:p>
    <w:p>
      <w:pPr>
        <w:pStyle w:val="3"/>
        <w:numPr>
          <w:ilvl w:val="1"/>
          <w:numId w:val="0"/>
        </w:numPr>
        <w:bidi w:val="0"/>
        <w:ind w:left="0" w:leftChars="0" w:firstLine="421" w:firstLineChars="131"/>
        <w:jc w:val="left"/>
        <w:rPr>
          <w:lang w:val="zh-CN"/>
        </w:rPr>
      </w:pPr>
      <w:bookmarkStart w:id="397" w:name="_Toc23869"/>
      <w:r>
        <w:rPr>
          <w:rFonts w:hint="eastAsia"/>
          <w:lang w:val="zh-CN"/>
        </w:rPr>
        <w:t>四、积极开展就业创业指导工作、提高就业创业服务水平</w:t>
      </w:r>
      <w:bookmarkEnd w:id="395"/>
      <w:bookmarkEnd w:id="396"/>
      <w:bookmarkEnd w:id="397"/>
    </w:p>
    <w:p>
      <w:pPr>
        <w:pStyle w:val="4"/>
        <w:numPr>
          <w:ilvl w:val="2"/>
          <w:numId w:val="0"/>
        </w:numPr>
        <w:bidi w:val="0"/>
        <w:ind w:left="0" w:leftChars="0" w:firstLine="402" w:firstLineChars="125"/>
        <w:rPr>
          <w:rFonts w:hint="eastAsia"/>
        </w:rPr>
      </w:pPr>
      <w:r>
        <w:rPr>
          <w:rFonts w:hint="eastAsia"/>
          <w:lang w:eastAsia="zh-CN"/>
        </w:rPr>
        <w:t>（一）</w:t>
      </w:r>
      <w:r>
        <w:rPr>
          <w:rFonts w:hint="eastAsia"/>
        </w:rPr>
        <w:t>积极开展就业指导讲座工作，引导毕业生树立正确的就业观念</w:t>
      </w:r>
    </w:p>
    <w:p>
      <w:pPr>
        <w:pStyle w:val="7"/>
        <w:bidi w:val="0"/>
        <w:ind w:left="0" w:leftChars="0" w:firstLine="419" w:firstLineChars="131"/>
        <w:rPr>
          <w:rFonts w:hint="eastAsia"/>
        </w:rPr>
      </w:pPr>
      <w:r>
        <w:rPr>
          <w:rFonts w:hint="eastAsia"/>
        </w:rPr>
        <w:t>6月26日海南省人力资源开发局主办</w:t>
      </w:r>
      <w:r>
        <w:rPr>
          <w:rFonts w:hint="eastAsia"/>
          <w:lang w:eastAsia="zh-CN"/>
        </w:rPr>
        <w:t>的</w:t>
      </w:r>
      <w:r>
        <w:rPr>
          <w:rFonts w:hint="eastAsia"/>
        </w:rPr>
        <w:t>2019年高校毕业生留琼就业指导进校园活动，</w:t>
      </w:r>
      <w:r>
        <w:rPr>
          <w:rFonts w:hint="eastAsia"/>
          <w:lang w:eastAsia="zh-CN"/>
        </w:rPr>
        <w:t>主题为</w:t>
      </w:r>
      <w:r>
        <w:rPr>
          <w:rFonts w:hint="eastAsia"/>
        </w:rPr>
        <w:t>“开放海南 梦想舞台”</w:t>
      </w:r>
      <w:r>
        <w:rPr>
          <w:rFonts w:hint="eastAsia"/>
          <w:lang w:eastAsia="zh-CN"/>
        </w:rPr>
        <w:t>。</w:t>
      </w:r>
      <w:r>
        <w:rPr>
          <w:rFonts w:hint="eastAsia"/>
        </w:rPr>
        <w:t>活动邀请海南康大投资有限公司总经办主任、国家二级企业人力资源管理师王琳导师为我院300多名毕业班学生做就业指导。活动以培养毕业生在面试中的应试能力，提高面试时的心理素质，掌握面试技巧、礼仪、等程序进行模拟面试环节活动。导师们分析</w:t>
      </w:r>
      <w:r>
        <w:rPr>
          <w:rFonts w:hint="eastAsia"/>
          <w:lang w:eastAsia="zh-CN"/>
        </w:rPr>
        <w:t>学生代表</w:t>
      </w:r>
      <w:r>
        <w:rPr>
          <w:rFonts w:hint="eastAsia"/>
        </w:rPr>
        <w:t>的面试表现，并提出简历需要突出重点、清楚自己对岗位的需求等。</w:t>
      </w:r>
      <w:r>
        <w:rPr>
          <w:rFonts w:hint="eastAsia"/>
          <w:lang w:eastAsia="zh-CN"/>
        </w:rPr>
        <w:t>让</w:t>
      </w:r>
      <w:r>
        <w:rPr>
          <w:rFonts w:hint="eastAsia"/>
        </w:rPr>
        <w:t>同学们充分感受到</w:t>
      </w:r>
      <w:r>
        <w:rPr>
          <w:rFonts w:hint="eastAsia"/>
          <w:lang w:eastAsia="zh-CN"/>
        </w:rPr>
        <w:t>仿真</w:t>
      </w:r>
      <w:r>
        <w:rPr>
          <w:rFonts w:hint="eastAsia"/>
        </w:rPr>
        <w:t>面试的紧张、激烈的气氛。</w:t>
      </w:r>
    </w:p>
    <w:p>
      <w:pPr>
        <w:pStyle w:val="7"/>
        <w:bidi w:val="0"/>
        <w:ind w:left="0" w:leftChars="0" w:firstLine="419" w:firstLineChars="131"/>
        <w:rPr>
          <w:rFonts w:hint="eastAsia"/>
        </w:rPr>
      </w:pPr>
      <w:r>
        <w:rPr>
          <w:rFonts w:hint="eastAsia"/>
        </w:rPr>
        <w:t xml:space="preserve"> </w:t>
      </w:r>
      <w:r>
        <w:rPr>
          <w:rFonts w:hint="eastAsia"/>
          <w:lang w:val="en-US" w:eastAsia="zh-CN"/>
        </w:rPr>
        <w:t xml:space="preserve"> </w:t>
      </w:r>
      <w:r>
        <w:rPr>
          <w:rFonts w:hint="eastAsia"/>
        </w:rPr>
        <w:t>11月19日，我院与海南省人力资源市场在图书馆多功能报告厅联合举办了以“逐梦未来 与你同行”为主题的就业创业指导进校园活动。海南省发改委培训中心特聘高级讲师、海南企业管理培训联盟主席廖勇先生，中国形象设计注册形象礼仪培训师黄妮女士作为宣讲嘉宾参加活动。黄妮女士围绕着怎么做简历、面试前怎么准备、面试中的言行礼仪三个方面展开向同学们进行宣讲。</w:t>
      </w:r>
      <w:r>
        <w:rPr>
          <w:rFonts w:hint="eastAsia"/>
          <w:lang w:eastAsia="zh-CN"/>
        </w:rPr>
        <w:t>教授学</w:t>
      </w:r>
      <w:r>
        <w:rPr>
          <w:rFonts w:hint="eastAsia"/>
        </w:rPr>
        <w:t>展现出得体的坐立礼仪，学会倾听和询问，多展现个人微笑，在言行中向面试官透露出个人主动积极的一面。</w:t>
      </w:r>
      <w:bookmarkStart w:id="398" w:name="_Toc10680_WPSOffice_Level3"/>
    </w:p>
    <w:bookmarkEnd w:id="398"/>
    <w:p>
      <w:pPr>
        <w:pStyle w:val="4"/>
        <w:bidi w:val="0"/>
        <w:ind w:left="0" w:leftChars="0" w:firstLine="400" w:firstLineChars="0"/>
        <w:rPr>
          <w:rFonts w:hint="eastAsia"/>
          <w:lang w:eastAsia="zh-CN"/>
        </w:rPr>
        <w:sectPr>
          <w:footnotePr>
            <w:numRestart w:val="eachPage"/>
          </w:footnotePr>
          <w:pgSz w:w="11906" w:h="16838"/>
          <w:pgMar w:top="1985" w:right="1531" w:bottom="1701" w:left="1701" w:header="964" w:footer="851" w:gutter="0"/>
          <w:pgNumType w:fmt="decimal"/>
          <w:cols w:space="425" w:num="1"/>
          <w:docGrid w:linePitch="312" w:charSpace="0"/>
        </w:sectPr>
      </w:pPr>
    </w:p>
    <w:p>
      <w:pPr>
        <w:pStyle w:val="4"/>
        <w:numPr>
          <w:ilvl w:val="2"/>
          <w:numId w:val="0"/>
        </w:numPr>
        <w:bidi w:val="0"/>
        <w:ind w:left="0" w:leftChars="0" w:firstLine="421" w:firstLineChars="131"/>
        <w:rPr>
          <w:rFonts w:hint="eastAsia"/>
          <w:lang w:eastAsia="zh-CN"/>
        </w:rPr>
      </w:pPr>
      <w:r>
        <w:rPr>
          <w:rFonts w:hint="eastAsia"/>
          <w:lang w:eastAsia="zh-CN"/>
        </w:rPr>
        <w:t>（二）改革</w:t>
      </w:r>
      <w:r>
        <w:rPr>
          <w:rFonts w:hint="eastAsia"/>
        </w:rPr>
        <w:t>《大学生职业发展与就业指导》课程建设</w:t>
      </w:r>
      <w:r>
        <w:rPr>
          <w:rFonts w:hint="eastAsia"/>
          <w:lang w:eastAsia="zh-CN"/>
        </w:rPr>
        <w:t>，</w:t>
      </w:r>
      <w:r>
        <w:rPr>
          <w:rFonts w:hint="eastAsia"/>
        </w:rPr>
        <w:t>做好</w:t>
      </w:r>
      <w:r>
        <w:rPr>
          <w:rFonts w:hint="eastAsia"/>
          <w:lang w:eastAsia="zh-CN"/>
        </w:rPr>
        <w:t>我院学生</w:t>
      </w:r>
      <w:r>
        <w:rPr>
          <w:rFonts w:hint="eastAsia"/>
        </w:rPr>
        <w:t>职业生涯规划</w:t>
      </w:r>
    </w:p>
    <w:p>
      <w:pPr>
        <w:pStyle w:val="7"/>
        <w:bidi w:val="0"/>
        <w:ind w:left="0" w:leftChars="0" w:firstLine="419" w:firstLineChars="131"/>
        <w:rPr>
          <w:rFonts w:hint="eastAsia"/>
          <w:lang w:val="zh-CN"/>
        </w:rPr>
      </w:pPr>
      <w:r>
        <w:rPr>
          <w:rFonts w:hint="eastAsia"/>
          <w:lang w:val="zh-CN"/>
        </w:rPr>
        <w:t>为了更好地适应大学生就业新形势，规范就业指导课教学工作，提高就业指导课的授课质量，更好地帮助学生充分认知职业、做好职业生涯规划，更好地服务、指导毕业生充分就业、高质量就业，我院改革《大学生职业发展与就业指导》课程，实行模块化教学。</w:t>
      </w:r>
    </w:p>
    <w:p>
      <w:pPr>
        <w:pStyle w:val="7"/>
        <w:bidi w:val="0"/>
        <w:ind w:left="0" w:leftChars="0" w:firstLine="419" w:firstLineChars="131"/>
        <w:rPr>
          <w:rFonts w:hint="eastAsia"/>
          <w:lang w:val="zh-CN"/>
        </w:rPr>
      </w:pPr>
      <w:r>
        <w:rPr>
          <w:rFonts w:hint="eastAsia"/>
          <w:lang w:val="zh-CN"/>
        </w:rPr>
        <w:t>由学院就业创业工作领导小组统一制定教学计划，由学院就业创业工作领导小组有关成员、思政部有关专业教师、各系分管学生就业工作领导、公共教学部相关专业课教师</w:t>
      </w:r>
      <w:r>
        <w:rPr>
          <w:rFonts w:hint="eastAsia"/>
          <w:lang w:val="zh-CN" w:eastAsia="zh-CN"/>
        </w:rPr>
        <w:t>、</w:t>
      </w:r>
      <w:r>
        <w:rPr>
          <w:rFonts w:hint="eastAsia"/>
          <w:lang w:val="zh-CN"/>
        </w:rPr>
        <w:t>各系专业骨干教师、就业指导员、辅导员担任担任就业指导课教师。聘请全国知名专家学者、知名企业家为就业指导课客座教授，充实教师队伍。</w:t>
      </w:r>
    </w:p>
    <w:p>
      <w:pPr>
        <w:rPr>
          <w:rFonts w:hint="eastAsia"/>
          <w:lang w:val="zh-CN"/>
        </w:rPr>
      </w:pPr>
    </w:p>
    <w:p>
      <w:pPr>
        <w:pStyle w:val="4"/>
        <w:numPr>
          <w:ilvl w:val="2"/>
          <w:numId w:val="0"/>
        </w:numPr>
        <w:bidi w:val="0"/>
        <w:ind w:left="400" w:leftChars="0"/>
        <w:rPr>
          <w:rFonts w:hint="eastAsia" w:ascii="楷体" w:hAnsi="楷体" w:eastAsia="楷体" w:cs="楷体"/>
          <w:lang w:val="zh-CN" w:eastAsia="zh-CN"/>
        </w:rPr>
      </w:pPr>
      <w:r>
        <w:rPr>
          <w:rFonts w:hint="eastAsia" w:ascii="楷体" w:hAnsi="楷体" w:cs="楷体"/>
          <w:lang w:val="zh-CN" w:eastAsia="zh-CN"/>
        </w:rPr>
        <w:t>（三）</w:t>
      </w:r>
      <w:r>
        <w:rPr>
          <w:rFonts w:hint="eastAsia" w:ascii="楷体" w:hAnsi="楷体" w:eastAsia="楷体" w:cs="楷体"/>
          <w:lang w:val="zh-CN" w:eastAsia="zh-CN"/>
        </w:rPr>
        <w:t>举办毕业生简历比赛，提升学生简历制作能力和水平</w:t>
      </w:r>
    </w:p>
    <w:p>
      <w:pPr>
        <w:pStyle w:val="7"/>
        <w:keepNext/>
        <w:keepLines/>
        <w:pageBreakBefore w:val="0"/>
        <w:widowControl w:val="0"/>
        <w:kinsoku/>
        <w:wordWrap/>
        <w:overflowPunct/>
        <w:topLinePunct w:val="0"/>
        <w:autoSpaceDE/>
        <w:autoSpaceDN/>
        <w:bidi w:val="0"/>
        <w:adjustRightInd/>
        <w:snapToGrid/>
        <w:ind w:left="0" w:leftChars="0" w:firstLine="419" w:firstLineChars="131"/>
        <w:textAlignment w:val="auto"/>
        <w:rPr>
          <w:rFonts w:hint="eastAsia"/>
          <w:lang w:eastAsia="zh-CN"/>
        </w:rPr>
      </w:pPr>
      <w:r>
        <w:rPr>
          <w:rFonts w:hint="eastAsia"/>
          <w:lang w:val="zh-CN"/>
        </w:rPr>
        <w:t>11月14日我院举办2020届毕业生简历制作比赛，比赛旨在帮助学生掌握设计、制作简历的基本要求和注意事项，为今后的求职就业打下良好基础。比赛以电子简历形式进行评比，公开观摩。一份份简约而又精美的简历彰显出我院学生的风采，制作简历的创新性，以及求职就业的主动性。</w:t>
      </w:r>
      <w:r>
        <w:rPr>
          <w:rFonts w:hint="eastAsia"/>
          <w:lang w:val="zh-CN" w:eastAsia="zh-CN"/>
        </w:rPr>
        <w:t>简历比赛</w:t>
      </w:r>
      <w:r>
        <w:rPr>
          <w:rFonts w:hint="eastAsia"/>
          <w:lang w:val="zh-CN"/>
        </w:rPr>
        <w:t>不仅给同学们提供了展示风采、培养能力和完善不足的平台，还进一步加强了同学们创新就业能力，提升同学们的求职素养。</w:t>
      </w:r>
    </w:p>
    <w:p>
      <w:pPr>
        <w:pStyle w:val="4"/>
        <w:keepNext/>
        <w:keepLines/>
        <w:pageBreakBefore w:val="0"/>
        <w:widowControl w:val="0"/>
        <w:kinsoku/>
        <w:wordWrap/>
        <w:overflowPunct/>
        <w:topLinePunct w:val="0"/>
        <w:autoSpaceDE/>
        <w:autoSpaceDN/>
        <w:bidi w:val="0"/>
        <w:adjustRightInd/>
        <w:snapToGrid/>
        <w:ind w:left="0" w:leftChars="0" w:firstLine="400" w:firstLineChars="0"/>
        <w:textAlignment w:val="auto"/>
        <w:rPr>
          <w:rFonts w:hint="eastAsia"/>
          <w:lang w:eastAsia="zh-CN"/>
        </w:rPr>
        <w:sectPr>
          <w:footnotePr>
            <w:numRestart w:val="eachPage"/>
          </w:footnotePr>
          <w:pgSz w:w="11906" w:h="16838"/>
          <w:pgMar w:top="1985" w:right="1531" w:bottom="1701" w:left="1701" w:header="964" w:footer="851" w:gutter="0"/>
          <w:pgNumType w:fmt="decimal"/>
          <w:cols w:space="425" w:num="1"/>
          <w:docGrid w:linePitch="312" w:charSpace="0"/>
        </w:sectPr>
      </w:pPr>
    </w:p>
    <w:p>
      <w:pPr>
        <w:pStyle w:val="4"/>
        <w:numPr>
          <w:ilvl w:val="2"/>
          <w:numId w:val="0"/>
        </w:numPr>
        <w:bidi w:val="0"/>
        <w:ind w:left="0" w:leftChars="0" w:firstLine="421" w:firstLineChars="131"/>
        <w:rPr>
          <w:rFonts w:hint="default"/>
          <w:lang w:val="en-US" w:eastAsia="zh-CN"/>
        </w:rPr>
      </w:pPr>
      <w:r>
        <w:rPr>
          <w:rFonts w:hint="eastAsia"/>
          <w:lang w:eastAsia="zh-CN"/>
        </w:rPr>
        <w:t>（四）</w:t>
      </w:r>
      <w:r>
        <w:rPr>
          <w:rFonts w:hint="eastAsia"/>
        </w:rPr>
        <w:t>提高就业创业工作队伍的业务能力，激发就业创业队伍的工</w:t>
      </w:r>
      <w:r>
        <w:rPr>
          <w:rFonts w:hint="eastAsia"/>
          <w:lang w:eastAsia="zh-CN"/>
        </w:rPr>
        <w:t>作积极性</w:t>
      </w:r>
    </w:p>
    <w:p>
      <w:pPr>
        <w:pStyle w:val="7"/>
        <w:bidi w:val="0"/>
        <w:ind w:left="0" w:leftChars="0" w:firstLine="419" w:firstLineChars="131"/>
        <w:rPr>
          <w:rFonts w:hint="eastAsia"/>
        </w:rPr>
      </w:pPr>
      <w:r>
        <w:rPr>
          <w:rFonts w:hint="eastAsia"/>
          <w:lang w:eastAsia="zh-CN"/>
        </w:rPr>
        <w:t>我院积极报送就业创业工作人员参加毕业生就业创业工作会议和培训班，不断提高就业创业工作人员素质，鼓励</w:t>
      </w:r>
      <w:r>
        <w:rPr>
          <w:rFonts w:hint="eastAsia"/>
        </w:rPr>
        <w:t>并支持就业指导员参加职业指导资格考试。</w:t>
      </w:r>
      <w:r>
        <w:rPr>
          <w:rFonts w:hint="eastAsia"/>
          <w:lang w:val="en-US" w:eastAsia="zh-CN"/>
        </w:rPr>
        <w:t>5月和9月</w:t>
      </w:r>
      <w:r>
        <w:rPr>
          <w:rFonts w:hint="eastAsia"/>
          <w:lang w:eastAsia="zh-CN"/>
        </w:rPr>
        <w:t>我院组织就业工作人前往苏州大学和重庆大学参加就业工作人员素质提升培训班、组织就业指导老师参加海南就业统计培训班和201</w:t>
      </w:r>
      <w:r>
        <w:rPr>
          <w:rFonts w:hint="eastAsia"/>
          <w:lang w:val="en-US" w:eastAsia="zh-CN"/>
        </w:rPr>
        <w:t>9</w:t>
      </w:r>
      <w:r>
        <w:rPr>
          <w:rFonts w:hint="eastAsia"/>
          <w:lang w:eastAsia="zh-CN"/>
        </w:rPr>
        <w:t>年全省大中专院校创业指导师资培训班。我处还组织各系部实训就业指导员到海南软件生态园、深圳等企业交流学习，旨在</w:t>
      </w:r>
      <w:r>
        <w:rPr>
          <w:rFonts w:hint="eastAsia"/>
          <w:lang w:val="zh-CN" w:eastAsia="zh-CN"/>
        </w:rPr>
        <w:t>挖掘高薪酬就业单位，扩大实习基地面积，促进与企业之间的合作关系。</w:t>
      </w:r>
    </w:p>
    <w:p>
      <w:pPr>
        <w:pStyle w:val="4"/>
        <w:numPr>
          <w:ilvl w:val="2"/>
          <w:numId w:val="0"/>
        </w:numPr>
        <w:bidi w:val="0"/>
        <w:ind w:left="400" w:leftChars="0"/>
        <w:rPr>
          <w:rFonts w:hint="eastAsia"/>
          <w:lang w:eastAsia="zh-CN"/>
        </w:rPr>
      </w:pPr>
      <w:r>
        <w:rPr>
          <w:rFonts w:hint="eastAsia"/>
          <w:lang w:eastAsia="zh-CN"/>
        </w:rPr>
        <w:t>（五）印制毕业生就业服务手册，做好就业政策宣传工作</w:t>
      </w:r>
    </w:p>
    <w:p>
      <w:pPr>
        <w:pStyle w:val="7"/>
        <w:bidi w:val="0"/>
        <w:ind w:left="0" w:leftChars="0" w:firstLine="419" w:firstLineChars="131"/>
      </w:pPr>
      <w:r>
        <w:rPr>
          <w:rFonts w:hint="eastAsia"/>
        </w:rPr>
        <w:t>为了做好毕业生离校前就业政策宣传工作、让毕业生能知晓并熟悉政策并顺利就业或创业，学院编印服务手册,免费发给学生人手一册，让学生能及时阅知了解毕业生就业有关优惠政策，熟知毕业离校，办理《报到证》的相关手续及程序。手册内容包括高校毕业生派遣指南、就业创业百问以及省、国家发布的26项就业政策、就业。</w:t>
      </w:r>
    </w:p>
    <w:p>
      <w:pPr>
        <w:pStyle w:val="7"/>
        <w:bidi w:val="0"/>
        <w:ind w:left="0" w:leftChars="0" w:firstLine="419" w:firstLineChars="131"/>
      </w:pPr>
      <w:r>
        <w:rPr>
          <w:rFonts w:hint="eastAsia"/>
        </w:rPr>
        <w:t>在20</w:t>
      </w:r>
      <w:r>
        <w:rPr>
          <w:rFonts w:hint="eastAsia"/>
          <w:lang w:val="en-US" w:eastAsia="zh-CN"/>
        </w:rPr>
        <w:t>20</w:t>
      </w:r>
      <w:r>
        <w:rPr>
          <w:rFonts w:hint="eastAsia"/>
        </w:rPr>
        <w:t>届毕业生离校上岗实习之前，各系部分别召开全体毕业生就业工作大会，积极主动向毕业生宣传推送国家有关毕业生就业政策、企业单位招工用人信息等，解读说明毕业派遣报到流程等等宣传工作。</w:t>
      </w:r>
    </w:p>
    <w:p>
      <w:pPr>
        <w:pStyle w:val="4"/>
        <w:bidi w:val="0"/>
        <w:ind w:left="0" w:leftChars="0" w:firstLine="400" w:firstLineChars="0"/>
        <w:sectPr>
          <w:footnotePr>
            <w:numRestart w:val="eachPage"/>
          </w:footnotePr>
          <w:pgSz w:w="11906" w:h="16838"/>
          <w:pgMar w:top="1985" w:right="1531" w:bottom="1701" w:left="1701" w:header="964" w:footer="851" w:gutter="0"/>
          <w:pgNumType w:fmt="decimal"/>
          <w:cols w:space="425" w:num="1"/>
          <w:docGrid w:linePitch="312" w:charSpace="0"/>
        </w:sectPr>
      </w:pPr>
    </w:p>
    <w:p>
      <w:pPr>
        <w:pStyle w:val="4"/>
        <w:numPr>
          <w:ilvl w:val="2"/>
          <w:numId w:val="0"/>
        </w:numPr>
        <w:bidi w:val="0"/>
        <w:ind w:left="400" w:leftChars="0"/>
      </w:pPr>
      <w:r>
        <w:rPr>
          <w:rFonts w:hint="eastAsia"/>
          <w:lang w:eastAsia="zh-CN"/>
        </w:rPr>
        <w:t>（六）</w:t>
      </w:r>
      <w:r>
        <w:rPr>
          <w:rFonts w:hint="eastAsia"/>
        </w:rPr>
        <w:t>加大就业帮扶力度，完善困难毕业生就业帮扶机制</w:t>
      </w:r>
    </w:p>
    <w:p>
      <w:pPr>
        <w:pStyle w:val="7"/>
        <w:bidi w:val="0"/>
        <w:ind w:left="0" w:leftChars="0" w:firstLine="419" w:firstLineChars="131"/>
        <w:rPr>
          <w:rFonts w:hint="eastAsia"/>
        </w:rPr>
      </w:pPr>
      <w:r>
        <w:rPr>
          <w:rFonts w:hint="eastAsia"/>
          <w:lang w:val="zh-CN"/>
        </w:rPr>
        <w:t>我院认真落实省人力资源开发局有关文件精神，为符合求职创业补贴的毕业生落实求职创业补贴。学院为</w:t>
      </w:r>
      <w:r>
        <w:rPr>
          <w:rFonts w:hint="eastAsia"/>
          <w:lang w:val="en-US" w:eastAsia="zh-CN"/>
        </w:rPr>
        <w:t>159</w:t>
      </w:r>
      <w:r>
        <w:rPr>
          <w:rFonts w:hint="eastAsia"/>
        </w:rPr>
        <w:t>位</w:t>
      </w:r>
      <w:r>
        <w:rPr>
          <w:rFonts w:hint="eastAsia"/>
          <w:lang w:val="zh-CN"/>
        </w:rPr>
        <w:t>201</w:t>
      </w:r>
      <w:r>
        <w:rPr>
          <w:rFonts w:hint="eastAsia"/>
          <w:lang w:val="en-US" w:eastAsia="zh-CN"/>
        </w:rPr>
        <w:t>9</w:t>
      </w:r>
      <w:r>
        <w:rPr>
          <w:rFonts w:hint="eastAsia"/>
          <w:lang w:val="zh-CN"/>
        </w:rPr>
        <w:t>届位低保户、残疾及申请国家助学贷款和建档立卡等毕业生申请办理求职创业补贴共计23</w:t>
      </w:r>
      <w:r>
        <w:rPr>
          <w:rFonts w:hint="eastAsia"/>
          <w:lang w:val="en-US" w:eastAsia="zh-CN"/>
        </w:rPr>
        <w:t>85</w:t>
      </w:r>
      <w:r>
        <w:rPr>
          <w:rFonts w:hint="eastAsia"/>
          <w:lang w:val="zh-CN"/>
        </w:rPr>
        <w:t>00元。建立</w:t>
      </w:r>
      <w:r>
        <w:rPr>
          <w:rFonts w:hint="eastAsia"/>
        </w:rPr>
        <w:t>2019届建档立卡毕业生档案，帮助困难毕业就业，跟踪已就业毕业生的动态，提高就业质量。</w:t>
      </w:r>
    </w:p>
    <w:p>
      <w:pPr>
        <w:rPr>
          <w:rFonts w:hint="eastAsia"/>
        </w:rPr>
      </w:pPr>
    </w:p>
    <w:p>
      <w:pPr>
        <w:rPr>
          <w:rFonts w:hint="eastAsia"/>
        </w:rPr>
      </w:pPr>
    </w:p>
    <w:p>
      <w:pPr>
        <w:pStyle w:val="3"/>
        <w:keepNext/>
        <w:keepLines/>
        <w:pageBreakBefore w:val="0"/>
        <w:widowControl w:val="0"/>
        <w:numPr>
          <w:ilvl w:val="1"/>
          <w:numId w:val="0"/>
        </w:numPr>
        <w:kinsoku/>
        <w:wordWrap/>
        <w:overflowPunct/>
        <w:topLinePunct w:val="0"/>
        <w:autoSpaceDE/>
        <w:autoSpaceDN/>
        <w:bidi w:val="0"/>
        <w:adjustRightInd/>
        <w:snapToGrid/>
        <w:spacing w:line="520" w:lineRule="exact"/>
        <w:ind w:left="0" w:leftChars="0" w:firstLine="421" w:firstLineChars="131"/>
        <w:jc w:val="left"/>
        <w:textAlignment w:val="auto"/>
        <w:rPr>
          <w:rFonts w:hint="eastAsia"/>
          <w:lang w:val="zh-CN" w:eastAsia="zh-CN"/>
        </w:rPr>
      </w:pPr>
      <w:r>
        <w:rPr>
          <w:rFonts w:hint="eastAsia"/>
          <w:lang w:val="zh-CN"/>
        </w:rPr>
        <w:t>五、建设就业创业咨询室</w:t>
      </w:r>
      <w:r>
        <w:rPr>
          <w:rFonts w:hint="eastAsia"/>
          <w:lang w:val="zh-CN" w:eastAsia="zh-CN"/>
        </w:rPr>
        <w:t>、</w:t>
      </w:r>
      <w:r>
        <w:rPr>
          <w:rFonts w:hint="eastAsia"/>
          <w:lang w:val="zh-CN"/>
        </w:rPr>
        <w:t>就业招聘室和就业洽谈室</w:t>
      </w:r>
      <w:r>
        <w:rPr>
          <w:rFonts w:hint="eastAsia"/>
          <w:lang w:val="zh-CN" w:eastAsia="zh-CN"/>
        </w:rPr>
        <w:t>等活动场所，解决我院</w:t>
      </w:r>
      <w:r>
        <w:rPr>
          <w:rFonts w:hint="eastAsia"/>
          <w:lang w:val="zh-CN"/>
        </w:rPr>
        <w:t>就业活动场地不足问题</w:t>
      </w:r>
    </w:p>
    <w:p>
      <w:pPr>
        <w:pStyle w:val="7"/>
        <w:bidi w:val="0"/>
        <w:rPr>
          <w:rFonts w:hint="eastAsia"/>
          <w:lang w:val="zh-CN" w:eastAsia="zh-CN"/>
        </w:rPr>
      </w:pPr>
      <w:r>
        <w:rPr>
          <w:rFonts w:hint="eastAsia"/>
          <w:lang w:val="zh-CN" w:eastAsia="zh-CN"/>
        </w:rPr>
        <w:t>学院今年增设就业咨询室和就业招聘室、洽谈室，使之成为多功能办公场地和就业创业服务开放型场所。就业咨询室具备职业生涯规划咨询、远程面试为一体的学生就业创业咨询活动场所，为学生提供职业生涯规划、职业指导、创业咨询、咨询指导工作档案收集等功能。</w:t>
      </w:r>
    </w:p>
    <w:p>
      <w:pPr>
        <w:rPr>
          <w:rFonts w:hint="eastAsia"/>
          <w:lang w:val="en-US" w:eastAsia="zh-CN"/>
        </w:rPr>
      </w:pPr>
    </w:p>
    <w:p>
      <w:pPr>
        <w:rPr>
          <w:rFonts w:hint="eastAsia"/>
          <w:lang w:val="en-US" w:eastAsia="zh-CN"/>
        </w:rPr>
      </w:pPr>
    </w:p>
    <w:p>
      <w:pPr>
        <w:pStyle w:val="3"/>
        <w:keepNext/>
        <w:keepLines/>
        <w:pageBreakBefore w:val="0"/>
        <w:widowControl w:val="0"/>
        <w:numPr>
          <w:ilvl w:val="1"/>
          <w:numId w:val="0"/>
        </w:numPr>
        <w:kinsoku/>
        <w:wordWrap/>
        <w:overflowPunct/>
        <w:topLinePunct w:val="0"/>
        <w:autoSpaceDE/>
        <w:autoSpaceDN/>
        <w:bidi w:val="0"/>
        <w:adjustRightInd/>
        <w:snapToGrid/>
        <w:spacing w:line="520" w:lineRule="exact"/>
        <w:ind w:left="0" w:leftChars="0" w:firstLine="421" w:firstLineChars="131"/>
        <w:jc w:val="left"/>
        <w:textAlignment w:val="auto"/>
      </w:pPr>
      <w:bookmarkStart w:id="399" w:name="_Toc8903_WPSOffice_Level2"/>
      <w:bookmarkStart w:id="400" w:name="_Toc513_WPSOffice_Level2"/>
      <w:bookmarkStart w:id="401" w:name="_Toc22216"/>
      <w:r>
        <w:rPr>
          <w:rFonts w:hint="eastAsia"/>
          <w:lang w:val="zh-CN"/>
        </w:rPr>
        <w:t>六、加强创新创业培训，大力发展创新创业实践活动</w:t>
      </w:r>
      <w:bookmarkEnd w:id="399"/>
      <w:bookmarkEnd w:id="400"/>
      <w:bookmarkEnd w:id="401"/>
      <w:r>
        <w:rPr>
          <w:rFonts w:hint="eastAsia"/>
          <w:lang w:val="zh-CN"/>
        </w:rPr>
        <w:t xml:space="preserve"> </w:t>
      </w:r>
    </w:p>
    <w:p>
      <w:pPr>
        <w:pStyle w:val="4"/>
        <w:keepNext/>
        <w:keepLines/>
        <w:pageBreakBefore w:val="0"/>
        <w:widowControl w:val="0"/>
        <w:numPr>
          <w:ilvl w:val="2"/>
          <w:numId w:val="0"/>
        </w:numPr>
        <w:kinsoku/>
        <w:wordWrap/>
        <w:overflowPunct/>
        <w:topLinePunct w:val="0"/>
        <w:autoSpaceDE/>
        <w:autoSpaceDN/>
        <w:bidi w:val="0"/>
        <w:adjustRightInd/>
        <w:snapToGrid/>
        <w:spacing w:line="520" w:lineRule="exact"/>
        <w:ind w:left="0" w:leftChars="0" w:firstLine="421" w:firstLineChars="131"/>
        <w:textAlignment w:val="auto"/>
      </w:pPr>
      <w:r>
        <w:rPr>
          <w:rFonts w:hint="eastAsia"/>
          <w:lang w:eastAsia="zh-CN"/>
        </w:rPr>
        <w:t>（一）</w:t>
      </w:r>
      <w:r>
        <w:rPr>
          <w:rFonts w:hint="eastAsia"/>
        </w:rPr>
        <w:t>加强创业培训，提升学生创新创业能力</w:t>
      </w:r>
    </w:p>
    <w:p>
      <w:pPr>
        <w:pStyle w:val="7"/>
        <w:bidi w:val="0"/>
        <w:ind w:left="0" w:leftChars="0" w:firstLine="419" w:firstLineChars="131"/>
        <w:rPr>
          <w:rFonts w:hint="eastAsia" w:asciiTheme="minorEastAsia" w:hAnsiTheme="minorEastAsia" w:eastAsiaTheme="minorEastAsia" w:cstheme="minorEastAsia"/>
        </w:rPr>
      </w:pPr>
      <w:r>
        <w:rPr>
          <w:rFonts w:hint="eastAsia"/>
        </w:rPr>
        <w:t>7月</w:t>
      </w:r>
      <w:r>
        <w:rPr>
          <w:rFonts w:hint="eastAsia"/>
          <w:lang w:val="en-US" w:eastAsia="zh-CN"/>
        </w:rPr>
        <w:t>10</w:t>
      </w:r>
      <w:r>
        <w:rPr>
          <w:rFonts w:hint="eastAsia"/>
        </w:rPr>
        <w:t>日至</w:t>
      </w:r>
      <w:r>
        <w:rPr>
          <w:rFonts w:hint="eastAsia"/>
          <w:lang w:val="en-US" w:eastAsia="zh-CN"/>
        </w:rPr>
        <w:t>16</w:t>
      </w:r>
      <w:r>
        <w:rPr>
          <w:rFonts w:hint="eastAsia"/>
        </w:rPr>
        <w:t>日</w:t>
      </w:r>
      <w:r>
        <w:rPr>
          <w:rFonts w:hint="eastAsia"/>
          <w:lang w:eastAsia="zh-CN"/>
        </w:rPr>
        <w:t>和</w:t>
      </w:r>
      <w:r>
        <w:rPr>
          <w:rFonts w:hint="eastAsia"/>
        </w:rPr>
        <w:t>11月</w:t>
      </w:r>
      <w:r>
        <w:rPr>
          <w:rFonts w:hint="eastAsia"/>
          <w:lang w:val="en-US" w:eastAsia="zh-CN"/>
        </w:rPr>
        <w:t>24</w:t>
      </w:r>
      <w:r>
        <w:rPr>
          <w:rFonts w:hint="eastAsia"/>
        </w:rPr>
        <w:t>日至</w:t>
      </w:r>
      <w:r>
        <w:rPr>
          <w:rFonts w:hint="eastAsia"/>
          <w:lang w:val="en-US" w:eastAsia="zh-CN"/>
        </w:rPr>
        <w:t>30</w:t>
      </w:r>
      <w:r>
        <w:rPr>
          <w:rFonts w:hint="eastAsia"/>
        </w:rPr>
        <w:t>日，</w:t>
      </w:r>
      <w:r>
        <w:rPr>
          <w:rFonts w:hint="eastAsia"/>
          <w:lang w:val="zh-CN"/>
        </w:rPr>
        <w:t>学院联合文昌市就业局</w:t>
      </w:r>
      <w:r>
        <w:rPr>
          <w:rFonts w:hint="eastAsia"/>
        </w:rPr>
        <w:t>在我校举办</w:t>
      </w:r>
      <w:r>
        <w:rPr>
          <w:rFonts w:hint="eastAsia"/>
          <w:lang w:eastAsia="zh-CN"/>
        </w:rPr>
        <w:t>两期</w:t>
      </w:r>
      <w:r>
        <w:rPr>
          <w:rFonts w:hint="eastAsia"/>
        </w:rPr>
        <w:t>20</w:t>
      </w:r>
      <w:r>
        <w:rPr>
          <w:rFonts w:hint="eastAsia"/>
          <w:lang w:val="en-US" w:eastAsia="zh-CN"/>
        </w:rPr>
        <w:t>20</w:t>
      </w:r>
      <w:r>
        <w:rPr>
          <w:rFonts w:hint="eastAsia"/>
        </w:rPr>
        <w:t>届毕业生SYB创业培训班</w:t>
      </w:r>
      <w:r>
        <w:rPr>
          <w:rFonts w:hint="eastAsia"/>
          <w:lang w:eastAsia="zh-CN"/>
        </w:rPr>
        <w:t>。</w:t>
      </w:r>
      <w:r>
        <w:rPr>
          <w:rFonts w:hint="eastAsia"/>
        </w:rPr>
        <w:t>参加创业培训活动的有20</w:t>
      </w:r>
      <w:r>
        <w:rPr>
          <w:rFonts w:hint="eastAsia"/>
          <w:lang w:val="en-US" w:eastAsia="zh-CN"/>
        </w:rPr>
        <w:t>20</w:t>
      </w:r>
      <w:r>
        <w:rPr>
          <w:rFonts w:hint="eastAsia"/>
        </w:rPr>
        <w:t>届在校毕业生共计</w:t>
      </w:r>
      <w:r>
        <w:rPr>
          <w:rFonts w:hint="eastAsia"/>
          <w:lang w:eastAsia="zh-CN"/>
        </w:rPr>
        <w:t>近</w:t>
      </w:r>
      <w:r>
        <w:rPr>
          <w:rFonts w:hint="eastAsia"/>
          <w:lang w:val="en-US" w:eastAsia="zh-CN"/>
        </w:rPr>
        <w:t>1000</w:t>
      </w:r>
      <w:r>
        <w:rPr>
          <w:rFonts w:hint="eastAsia"/>
        </w:rPr>
        <w:t>人。</w:t>
      </w:r>
      <w:r>
        <w:rPr>
          <w:rFonts w:hint="eastAsia"/>
          <w:lang w:eastAsia="zh-CN"/>
        </w:rPr>
        <w:t>此项活动深受学生好评，他</w:t>
      </w:r>
      <w:r>
        <w:rPr>
          <w:rFonts w:hint="eastAsia"/>
        </w:rPr>
        <w:t>们普遍认为此次培训，了解了创业创新的基本知识，提升了创新创业</w:t>
      </w:r>
      <w:r>
        <w:rPr>
          <w:rFonts w:hint="eastAsia"/>
          <w:lang w:eastAsia="zh-CN"/>
        </w:rPr>
        <w:t>的意识和</w:t>
      </w:r>
      <w:r>
        <w:rPr>
          <w:rFonts w:hint="eastAsia"/>
        </w:rPr>
        <w:t>能力。</w:t>
      </w:r>
    </w:p>
    <w:p>
      <w:pPr>
        <w:pStyle w:val="4"/>
        <w:bidi w:val="0"/>
        <w:ind w:left="0" w:leftChars="0" w:firstLine="400" w:firstLineChars="0"/>
        <w:rPr>
          <w:rFonts w:hint="eastAsia"/>
        </w:rPr>
        <w:sectPr>
          <w:footnotePr>
            <w:numRestart w:val="eachPage"/>
          </w:footnotePr>
          <w:pgSz w:w="11906" w:h="16838"/>
          <w:pgMar w:top="1985" w:right="1531" w:bottom="1701" w:left="1701" w:header="964" w:footer="851" w:gutter="0"/>
          <w:pgNumType w:fmt="decimal"/>
          <w:cols w:space="425" w:num="1"/>
          <w:docGrid w:linePitch="312" w:charSpace="0"/>
        </w:sectPr>
      </w:pPr>
    </w:p>
    <w:p>
      <w:pPr>
        <w:pStyle w:val="4"/>
        <w:pageBreakBefore w:val="0"/>
        <w:widowControl w:val="0"/>
        <w:numPr>
          <w:ilvl w:val="2"/>
          <w:numId w:val="0"/>
        </w:numPr>
        <w:kinsoku/>
        <w:wordWrap/>
        <w:overflowPunct/>
        <w:topLinePunct w:val="0"/>
        <w:autoSpaceDE/>
        <w:autoSpaceDN/>
        <w:bidi w:val="0"/>
        <w:adjustRightInd/>
        <w:snapToGrid/>
        <w:spacing w:line="500" w:lineRule="exact"/>
        <w:ind w:left="0" w:leftChars="0" w:firstLine="421" w:firstLineChars="131"/>
        <w:textAlignment w:val="auto"/>
        <w:rPr>
          <w:rFonts w:hint="eastAsia"/>
        </w:rPr>
      </w:pPr>
      <w:r>
        <w:rPr>
          <w:rFonts w:hint="eastAsia"/>
          <w:lang w:eastAsia="zh-CN"/>
        </w:rPr>
        <w:t>（二）</w:t>
      </w:r>
      <w:r>
        <w:rPr>
          <w:rFonts w:hint="eastAsia"/>
        </w:rPr>
        <w:t>积极举办创新创业大赛，提高创新创业水平</w:t>
      </w:r>
    </w:p>
    <w:p>
      <w:pPr>
        <w:pStyle w:val="7"/>
        <w:pageBreakBefore w:val="0"/>
        <w:widowControl w:val="0"/>
        <w:kinsoku/>
        <w:wordWrap/>
        <w:overflowPunct/>
        <w:topLinePunct w:val="0"/>
        <w:autoSpaceDE/>
        <w:autoSpaceDN/>
        <w:bidi w:val="0"/>
        <w:adjustRightInd/>
        <w:snapToGrid/>
        <w:spacing w:line="500" w:lineRule="exact"/>
        <w:ind w:left="0" w:leftChars="0" w:firstLine="419" w:firstLineChars="131"/>
        <w:textAlignment w:val="auto"/>
        <w:rPr>
          <w:rFonts w:hint="eastAsia"/>
        </w:rPr>
      </w:pPr>
      <w:r>
        <w:rPr>
          <w:rFonts w:hint="eastAsia"/>
        </w:rPr>
        <w:t>为加强我院学生创新创业意识、提高创新创业水平，学院举办多次大学生创新创业大赛。并通过选拔，推荐优秀创新创业学生团队参加省级比赛。在2019年全省各类大学生创业大赛中，我院共有120个项目参赛，其中《海外院线上社区》、《海南优客清补凉》、《打造中国版NASA太空营》等12个创业项目进入复赛。2019年6月，由共青团海南省委举办的2019年“创青春”海南大学生创新创业大赛在海南大学举行，学院团委择优推荐的海外院线上社区、打造中国版NASA太空营两个团队在比赛中表现出色，最终荣获省赛三等奖。</w:t>
      </w:r>
    </w:p>
    <w:p>
      <w:pPr>
        <w:pStyle w:val="4"/>
        <w:pageBreakBefore w:val="0"/>
        <w:widowControl w:val="0"/>
        <w:numPr>
          <w:ilvl w:val="2"/>
          <w:numId w:val="0"/>
        </w:numPr>
        <w:kinsoku/>
        <w:wordWrap/>
        <w:overflowPunct/>
        <w:topLinePunct w:val="0"/>
        <w:autoSpaceDE/>
        <w:autoSpaceDN/>
        <w:bidi w:val="0"/>
        <w:adjustRightInd/>
        <w:snapToGrid/>
        <w:spacing w:line="500" w:lineRule="exact"/>
        <w:ind w:left="0" w:leftChars="0" w:firstLine="421" w:firstLineChars="131"/>
        <w:textAlignment w:val="auto"/>
        <w:rPr>
          <w:rFonts w:hint="eastAsia"/>
        </w:rPr>
      </w:pPr>
      <w:r>
        <w:rPr>
          <w:rFonts w:hint="eastAsia"/>
          <w:lang w:eastAsia="zh-CN"/>
        </w:rPr>
        <w:t>（三）</w:t>
      </w:r>
      <w:r>
        <w:rPr>
          <w:rFonts w:hint="eastAsia"/>
        </w:rPr>
        <w:t>优化创业孵化基地，帮助学生实现创业梦想</w:t>
      </w:r>
    </w:p>
    <w:p>
      <w:pPr>
        <w:pStyle w:val="7"/>
        <w:pageBreakBefore w:val="0"/>
        <w:widowControl w:val="0"/>
        <w:kinsoku/>
        <w:wordWrap/>
        <w:overflowPunct/>
        <w:topLinePunct w:val="0"/>
        <w:autoSpaceDE/>
        <w:autoSpaceDN/>
        <w:bidi w:val="0"/>
        <w:adjustRightInd/>
        <w:snapToGrid/>
        <w:spacing w:line="500" w:lineRule="exact"/>
        <w:ind w:left="0" w:leftChars="0" w:firstLine="419" w:firstLineChars="131"/>
        <w:textAlignment w:val="auto"/>
        <w:rPr>
          <w:rFonts w:hint="eastAsia"/>
        </w:rPr>
      </w:pPr>
      <w:r>
        <w:rPr>
          <w:rFonts w:hint="eastAsia"/>
        </w:rPr>
        <w:t>为了贯彻落实《关于高校共青团积极促进大学生创业工作的实施意见》，我院团委建立了《海南外国语职业学院大学生创业孵化基地》二期工程，免费给大学生创业搭建平台。海南外国语职业学院大学生创业孵化基地现入驻创业团队7个，创业学生28名，学生创业利润371990元，其中海外院线上社区网络平台成为在校大学生喜闻乐见、使用率较高的校园网络平台。</w:t>
      </w:r>
    </w:p>
    <w:p>
      <w:pPr>
        <w:pStyle w:val="4"/>
        <w:pageBreakBefore w:val="0"/>
        <w:widowControl w:val="0"/>
        <w:numPr>
          <w:ilvl w:val="2"/>
          <w:numId w:val="0"/>
        </w:numPr>
        <w:kinsoku/>
        <w:wordWrap/>
        <w:overflowPunct/>
        <w:topLinePunct w:val="0"/>
        <w:autoSpaceDE/>
        <w:autoSpaceDN/>
        <w:bidi w:val="0"/>
        <w:adjustRightInd/>
        <w:snapToGrid/>
        <w:spacing w:line="500" w:lineRule="exact"/>
        <w:ind w:left="0" w:leftChars="0" w:firstLine="421" w:firstLineChars="131"/>
        <w:textAlignment w:val="auto"/>
        <w:rPr>
          <w:rFonts w:hint="eastAsia"/>
          <w:lang w:val="en-US" w:eastAsia="zh-CN"/>
        </w:rPr>
      </w:pPr>
      <w:r>
        <w:rPr>
          <w:rFonts w:hint="eastAsia"/>
          <w:lang w:val="en-US" w:eastAsia="zh-CN"/>
        </w:rPr>
        <w:t>（四）汇集校友力量，共享互惠资源</w:t>
      </w:r>
    </w:p>
    <w:p>
      <w:pPr>
        <w:pageBreakBefore w:val="0"/>
        <w:widowControl w:val="0"/>
        <w:kinsoku/>
        <w:wordWrap/>
        <w:overflowPunct/>
        <w:topLinePunct w:val="0"/>
        <w:autoSpaceDE/>
        <w:autoSpaceDN/>
        <w:bidi w:val="0"/>
        <w:adjustRightInd/>
        <w:snapToGrid/>
        <w:spacing w:line="500" w:lineRule="exact"/>
        <w:ind w:left="0" w:leftChars="0" w:firstLine="419" w:firstLineChars="131"/>
        <w:textAlignment w:val="auto"/>
        <w:rPr>
          <w:rFonts w:hint="eastAsia"/>
        </w:rPr>
        <w:sectPr>
          <w:footnotePr>
            <w:numRestart w:val="eachPage"/>
          </w:footnotePr>
          <w:pgSz w:w="11906" w:h="16838"/>
          <w:pgMar w:top="1985" w:right="1531" w:bottom="1701" w:left="1701" w:header="964" w:footer="851" w:gutter="0"/>
          <w:pgNumType w:fmt="decimal"/>
          <w:cols w:space="425" w:num="1"/>
          <w:docGrid w:linePitch="312" w:charSpace="0"/>
        </w:sectPr>
      </w:pPr>
      <w:r>
        <w:rPr>
          <w:rFonts w:hint="eastAsia" w:ascii="Times New Roman" w:hAnsi="Times New Roman" w:eastAsia="仿宋" w:cs="Times New Roman"/>
          <w:kern w:val="2"/>
          <w:sz w:val="32"/>
          <w:szCs w:val="24"/>
          <w:lang w:val="en-US" w:eastAsia="zh-CN" w:bidi="ar-SA"/>
        </w:rPr>
        <w:t>过去的一年，学院汇集校友创业的供需资讯，扩展创业工作视野，充分挖掘校友资源，发挥校内小语种专业优势，开拓了大学生创业就业工作新思路。其中，由08级毕业生郭丽创办的深圳双梅物流集团，利用主要业务覆盖中东地区的机遇，对接我院东语系。在多方帮扶推动下，一支由阿拉伯语专业在校生组建的大学生国际货运校园运营创业团队应运而生，顺利进驻大学生创业孵化基地。</w:t>
      </w:r>
    </w:p>
    <w:p>
      <w:pPr>
        <w:pStyle w:val="2"/>
        <w:numPr>
          <w:ilvl w:val="0"/>
          <w:numId w:val="0"/>
        </w:numPr>
        <w:bidi w:val="0"/>
        <w:ind w:leftChars="0"/>
        <w:jc w:val="center"/>
      </w:pPr>
      <w:bookmarkStart w:id="402" w:name="_Toc12813"/>
      <w:r>
        <w:rPr>
          <w:rFonts w:hint="eastAsia"/>
          <w:lang w:val="en-US" w:eastAsia="zh-CN"/>
        </w:rPr>
        <w:t xml:space="preserve">第五章 </w:t>
      </w:r>
      <w:r>
        <w:rPr>
          <w:rFonts w:hint="eastAsia"/>
        </w:rPr>
        <w:t>就业对教育教学的反馈</w:t>
      </w:r>
      <w:bookmarkEnd w:id="294"/>
      <w:bookmarkEnd w:id="295"/>
      <w:bookmarkEnd w:id="379"/>
      <w:bookmarkEnd w:id="380"/>
      <w:bookmarkEnd w:id="381"/>
      <w:bookmarkEnd w:id="382"/>
      <w:bookmarkEnd w:id="383"/>
      <w:bookmarkEnd w:id="384"/>
      <w:bookmarkEnd w:id="402"/>
    </w:p>
    <w:p>
      <w:pPr>
        <w:pStyle w:val="3"/>
        <w:numPr>
          <w:ilvl w:val="1"/>
          <w:numId w:val="0"/>
        </w:numPr>
        <w:bidi w:val="0"/>
        <w:ind w:leftChars="0"/>
        <w:jc w:val="center"/>
      </w:pPr>
      <w:bookmarkStart w:id="403" w:name="_Toc23434198"/>
      <w:bookmarkStart w:id="404" w:name="_Toc20130"/>
      <w:bookmarkStart w:id="405" w:name="pb_51"/>
      <w:r>
        <w:rPr>
          <w:rFonts w:hint="eastAsia"/>
          <w:lang w:eastAsia="zh-CN"/>
        </w:rPr>
        <w:t>一、</w:t>
      </w:r>
      <w:r>
        <w:t>对人才培养的</w:t>
      </w:r>
      <w:r>
        <w:rPr>
          <w:rFonts w:hint="eastAsia"/>
        </w:rPr>
        <w:t>反馈</w:t>
      </w:r>
      <w:bookmarkEnd w:id="403"/>
      <w:bookmarkEnd w:id="404"/>
    </w:p>
    <w:p>
      <w:pPr>
        <w:pStyle w:val="4"/>
        <w:bidi w:val="0"/>
        <w:ind w:left="0" w:leftChars="0" w:firstLine="400" w:firstLineChars="0"/>
      </w:pPr>
      <w:bookmarkStart w:id="406" w:name="_Toc22696"/>
      <w:bookmarkStart w:id="407" w:name="_Toc23434199"/>
      <w:bookmarkStart w:id="408" w:name="pb_52"/>
      <w:r>
        <w:rPr>
          <w:rFonts w:hint="eastAsia"/>
        </w:rPr>
        <w:t>对学校的总体满意度</w:t>
      </w:r>
      <w:bookmarkEnd w:id="406"/>
      <w:bookmarkEnd w:id="407"/>
    </w:p>
    <w:p>
      <w:pPr>
        <w:pStyle w:val="6"/>
        <w:numPr>
          <w:ilvl w:val="0"/>
          <w:numId w:val="9"/>
        </w:numPr>
        <w:bidi w:val="0"/>
      </w:pPr>
      <w:bookmarkStart w:id="409" w:name="icb_115"/>
      <w:bookmarkStart w:id="410" w:name="pb_507"/>
      <w:r>
        <w:rPr>
          <w:rFonts w:hint="eastAsia"/>
        </w:rPr>
        <w:t>对学校的总体推荐度评价</w:t>
      </w:r>
    </w:p>
    <w:p>
      <w:pPr>
        <w:pStyle w:val="7"/>
        <w:bidi w:val="0"/>
        <w:rPr>
          <w:rFonts w:hint="eastAsia"/>
          <w:lang w:eastAsia="zh-CN"/>
        </w:rPr>
      </w:pPr>
      <w:r>
        <w:rPr>
          <w:rFonts w:hint="eastAsia"/>
          <w:lang w:eastAsia="zh-CN"/>
        </w:rPr>
        <w:t>本校2019届毕业生愿意推荐母校的比例为56%。</w:t>
      </w:r>
    </w:p>
    <w:p>
      <w:pPr>
        <w:jc w:val="center"/>
        <w:rPr>
          <w:rFonts w:hint="eastAsia" w:ascii="Calibri" w:hAnsi="Calibri"/>
        </w:rPr>
      </w:pPr>
      <w:r>
        <w:rPr>
          <w:rFonts w:ascii="Calibri" w:hAnsi="Calibri"/>
        </w:rPr>
        <w:drawing>
          <wp:inline distT="0" distB="0" distL="114300" distR="114300">
            <wp:extent cx="5210175" cy="2514600"/>
            <wp:effectExtent l="0" t="0" r="0" b="0"/>
            <wp:docPr id="100"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图片 29"/>
                    <pic:cNvPicPr>
                      <a:picLocks noChangeAspect="1"/>
                    </pic:cNvPicPr>
                  </pic:nvPicPr>
                  <pic:blipFill>
                    <a:blip r:embed="rId69"/>
                    <a:stretch>
                      <a:fillRect/>
                    </a:stretch>
                  </pic:blipFill>
                  <pic:spPr>
                    <a:xfrm>
                      <a:off x="0" y="0"/>
                      <a:ext cx="5210175" cy="2514600"/>
                    </a:xfrm>
                    <a:prstGeom prst="rect">
                      <a:avLst/>
                    </a:prstGeom>
                    <a:noFill/>
                    <a:ln>
                      <a:noFill/>
                    </a:ln>
                  </pic:spPr>
                </pic:pic>
              </a:graphicData>
            </a:graphic>
          </wp:inline>
        </w:drawing>
      </w:r>
    </w:p>
    <w:p>
      <w:pPr>
        <w:pStyle w:val="8"/>
        <w:numPr>
          <w:ilvl w:val="0"/>
          <w:numId w:val="10"/>
        </w:numPr>
        <w:spacing w:line="360" w:lineRule="auto"/>
        <w:rPr>
          <w:rFonts w:hint="eastAsia" w:asciiTheme="minorEastAsia" w:hAnsiTheme="minorEastAsia" w:eastAsiaTheme="minorEastAsia" w:cstheme="minorEastAsia"/>
          <w:sz w:val="21"/>
          <w:szCs w:val="21"/>
          <w:lang w:eastAsia="zh-CN"/>
        </w:rPr>
      </w:pPr>
      <w:bookmarkStart w:id="411" w:name="_Toc23442291"/>
      <w:r>
        <w:rPr>
          <w:rFonts w:hint="eastAsia" w:asciiTheme="minorEastAsia" w:hAnsiTheme="minorEastAsia" w:eastAsiaTheme="minorEastAsia" w:cstheme="minorEastAsia"/>
          <w:sz w:val="21"/>
          <w:szCs w:val="21"/>
        </w:rPr>
        <w:t>毕业生对母校的</w:t>
      </w:r>
      <w:r>
        <w:rPr>
          <w:rFonts w:hint="eastAsia" w:asciiTheme="minorEastAsia" w:hAnsiTheme="minorEastAsia" w:eastAsiaTheme="minorEastAsia" w:cstheme="minorEastAsia"/>
          <w:sz w:val="21"/>
          <w:szCs w:val="21"/>
          <w:lang w:eastAsia="zh-CN"/>
        </w:rPr>
        <w:t>推荐度</w:t>
      </w:r>
      <w:bookmarkEnd w:id="411"/>
    </w:p>
    <w:p>
      <w:pPr>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数据来源：麦可思-海南外国语职业学院2019届毕业生培养质量评价数据。</w:t>
      </w:r>
      <w:bookmarkEnd w:id="409"/>
    </w:p>
    <w:p>
      <w:pPr>
        <w:pStyle w:val="6"/>
        <w:spacing w:before="120" w:after="120"/>
        <w:rPr>
          <w:rFonts w:ascii="Calibri" w:hAnsi="Calibri" w:cs="Arial"/>
          <w:b w:val="0"/>
          <w:szCs w:val="32"/>
        </w:rPr>
        <w:sectPr>
          <w:footnotePr>
            <w:numRestart w:val="eachPage"/>
          </w:footnotePr>
          <w:pgSz w:w="11906" w:h="16838"/>
          <w:pgMar w:top="1985" w:right="1531" w:bottom="1701" w:left="1701" w:header="964" w:footer="851" w:gutter="0"/>
          <w:pgNumType w:fmt="decimal"/>
          <w:cols w:space="425" w:num="1"/>
          <w:docGrid w:linePitch="312" w:charSpace="0"/>
        </w:sectPr>
      </w:pPr>
    </w:p>
    <w:bookmarkEnd w:id="410"/>
    <w:p>
      <w:pPr>
        <w:pStyle w:val="6"/>
        <w:numPr>
          <w:ilvl w:val="0"/>
          <w:numId w:val="9"/>
        </w:numPr>
        <w:bidi w:val="0"/>
      </w:pPr>
      <w:bookmarkStart w:id="412" w:name="icb_8024"/>
      <w:bookmarkStart w:id="413" w:name="pb_53"/>
      <w:r>
        <w:t>各院系及</w:t>
      </w:r>
      <w:r>
        <w:rPr>
          <w:rFonts w:hint="eastAsia"/>
        </w:rPr>
        <w:t>专业</w:t>
      </w:r>
      <w:r>
        <w:t>对</w:t>
      </w:r>
      <w:r>
        <w:rPr>
          <w:rFonts w:hint="eastAsia"/>
        </w:rPr>
        <w:t>学校</w:t>
      </w:r>
      <w:r>
        <w:t>的</w:t>
      </w:r>
      <w:r>
        <w:rPr>
          <w:rFonts w:hint="eastAsia"/>
        </w:rPr>
        <w:t>推荐</w:t>
      </w:r>
      <w:r>
        <w:t>度</w:t>
      </w:r>
    </w:p>
    <w:p>
      <w:pPr>
        <w:pStyle w:val="7"/>
        <w:bidi w:val="0"/>
        <w:rPr>
          <w:rFonts w:hint="eastAsia"/>
          <w:lang w:eastAsia="zh-CN"/>
        </w:rPr>
      </w:pPr>
      <w:r>
        <w:rPr>
          <w:rFonts w:hint="eastAsia"/>
          <w:lang w:eastAsia="zh-CN"/>
        </w:rPr>
        <w:t>本校2019届毕业生中，英语系、西语系、旅游系、国际商务系、东语系愿意推荐母校的比例分别为60%、59%、54%、54%、53%。</w:t>
      </w:r>
    </w:p>
    <w:p>
      <w:pPr>
        <w:jc w:val="center"/>
        <w:rPr>
          <w:rFonts w:hint="eastAsia" w:ascii="Calibri" w:hAnsi="Calibri"/>
        </w:rPr>
      </w:pPr>
      <w:r>
        <w:rPr>
          <w:rFonts w:ascii="Calibri" w:hAnsi="Calibri"/>
        </w:rPr>
        <w:drawing>
          <wp:inline distT="0" distB="0" distL="114300" distR="114300">
            <wp:extent cx="5067300" cy="3924300"/>
            <wp:effectExtent l="0" t="0" r="0" b="0"/>
            <wp:docPr id="101"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图片 30"/>
                    <pic:cNvPicPr>
                      <a:picLocks noChangeAspect="1"/>
                    </pic:cNvPicPr>
                  </pic:nvPicPr>
                  <pic:blipFill>
                    <a:blip r:embed="rId70"/>
                    <a:stretch>
                      <a:fillRect/>
                    </a:stretch>
                  </pic:blipFill>
                  <pic:spPr>
                    <a:xfrm>
                      <a:off x="0" y="0"/>
                      <a:ext cx="5067300" cy="3924300"/>
                    </a:xfrm>
                    <a:prstGeom prst="rect">
                      <a:avLst/>
                    </a:prstGeom>
                    <a:noFill/>
                    <a:ln>
                      <a:noFill/>
                    </a:ln>
                  </pic:spPr>
                </pic:pic>
              </a:graphicData>
            </a:graphic>
          </wp:inline>
        </w:drawing>
      </w:r>
    </w:p>
    <w:p>
      <w:pPr>
        <w:pStyle w:val="8"/>
        <w:numPr>
          <w:ilvl w:val="0"/>
          <w:numId w:val="10"/>
        </w:numPr>
        <w:spacing w:line="360" w:lineRule="auto"/>
        <w:rPr>
          <w:rFonts w:hint="eastAsia" w:asciiTheme="minorEastAsia" w:hAnsiTheme="minorEastAsia" w:eastAsiaTheme="minorEastAsia" w:cstheme="minorEastAsia"/>
          <w:sz w:val="21"/>
          <w:szCs w:val="21"/>
        </w:rPr>
      </w:pPr>
      <w:bookmarkStart w:id="414" w:name="_Toc23442292"/>
      <w:r>
        <w:rPr>
          <w:rFonts w:hint="eastAsia" w:asciiTheme="minorEastAsia" w:hAnsiTheme="minorEastAsia" w:eastAsiaTheme="minorEastAsia" w:cstheme="minorEastAsia"/>
          <w:sz w:val="21"/>
          <w:szCs w:val="21"/>
        </w:rPr>
        <w:t>各院系毕业生对母校的推荐度</w:t>
      </w:r>
      <w:bookmarkEnd w:id="414"/>
    </w:p>
    <w:p>
      <w:pPr>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注：个别院系由于样本较少没有包括在内。</w:t>
      </w:r>
    </w:p>
    <w:p>
      <w:pPr>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数据来源：麦可思-海南外国语职业学院2019届毕业生培养质量评价数据。</w:t>
      </w:r>
    </w:p>
    <w:p>
      <w:pPr>
        <w:spacing w:line="240" w:lineRule="auto"/>
        <w:rPr>
          <w:rFonts w:hint="eastAsia" w:ascii="Calibri" w:hAnsi="Calibri" w:cs="Arial"/>
          <w:sz w:val="18"/>
          <w:szCs w:val="18"/>
        </w:rPr>
      </w:pPr>
    </w:p>
    <w:bookmarkEnd w:id="412"/>
    <w:p>
      <w:pPr>
        <w:rPr>
          <w:rFonts w:ascii="Calibri" w:hAnsi="Calibri"/>
        </w:rPr>
      </w:pPr>
    </w:p>
    <w:p>
      <w:pPr>
        <w:rPr>
          <w:rFonts w:hint="eastAsia" w:ascii="Calibri" w:hAnsi="Calibri"/>
        </w:rPr>
      </w:pPr>
    </w:p>
    <w:p>
      <w:pPr>
        <w:pStyle w:val="6"/>
        <w:spacing w:before="120" w:after="120"/>
        <w:rPr>
          <w:rFonts w:ascii="Calibri" w:hAnsi="Calibri" w:cs="Arial"/>
          <w:b w:val="0"/>
          <w:szCs w:val="32"/>
        </w:rPr>
        <w:sectPr>
          <w:footnotePr>
            <w:numRestart w:val="eachPage"/>
          </w:footnotePr>
          <w:pgSz w:w="11906" w:h="16838"/>
          <w:pgMar w:top="1985" w:right="1531" w:bottom="1701" w:left="1701" w:header="964" w:footer="851" w:gutter="0"/>
          <w:pgNumType w:fmt="decimal"/>
          <w:cols w:space="425" w:num="1"/>
          <w:docGrid w:linePitch="312" w:charSpace="0"/>
        </w:sectPr>
      </w:pPr>
    </w:p>
    <w:p>
      <w:pPr>
        <w:pStyle w:val="7"/>
        <w:bidi w:val="0"/>
        <w:rPr>
          <w:rFonts w:hint="eastAsia"/>
          <w:lang w:eastAsia="zh-CN"/>
        </w:rPr>
      </w:pPr>
      <w:bookmarkStart w:id="415" w:name="icb_8025"/>
      <w:r>
        <w:rPr>
          <w:rFonts w:hint="eastAsia"/>
          <w:lang w:eastAsia="zh-CN"/>
        </w:rPr>
        <w:t>本校2019届毕业生愿意推荐母校比例较高的专业是应用俄语（81%）、烹调工艺与营养（73%），愿意推荐母校比例较低的专业是应用西班牙语（29%）。</w:t>
      </w:r>
    </w:p>
    <w:p>
      <w:pPr>
        <w:jc w:val="center"/>
        <w:rPr>
          <w:rFonts w:ascii="Calibri" w:hAnsi="Calibri"/>
        </w:rPr>
      </w:pPr>
      <w:r>
        <w:rPr>
          <w:rFonts w:ascii="Calibri" w:hAnsi="Calibri"/>
        </w:rPr>
        <w:drawing>
          <wp:inline distT="0" distB="0" distL="114300" distR="114300">
            <wp:extent cx="5067300" cy="5962650"/>
            <wp:effectExtent l="0" t="0" r="0" b="0"/>
            <wp:docPr id="98"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图片 31"/>
                    <pic:cNvPicPr>
                      <a:picLocks noChangeAspect="1"/>
                    </pic:cNvPicPr>
                  </pic:nvPicPr>
                  <pic:blipFill>
                    <a:blip r:embed="rId71"/>
                    <a:stretch>
                      <a:fillRect/>
                    </a:stretch>
                  </pic:blipFill>
                  <pic:spPr>
                    <a:xfrm>
                      <a:off x="0" y="0"/>
                      <a:ext cx="5067300" cy="5962650"/>
                    </a:xfrm>
                    <a:prstGeom prst="rect">
                      <a:avLst/>
                    </a:prstGeom>
                    <a:noFill/>
                    <a:ln>
                      <a:noFill/>
                    </a:ln>
                  </pic:spPr>
                </pic:pic>
              </a:graphicData>
            </a:graphic>
          </wp:inline>
        </w:drawing>
      </w:r>
    </w:p>
    <w:p>
      <w:pPr>
        <w:pStyle w:val="8"/>
        <w:numPr>
          <w:ilvl w:val="0"/>
          <w:numId w:val="10"/>
        </w:numPr>
        <w:spacing w:line="360" w:lineRule="auto"/>
        <w:rPr>
          <w:rFonts w:hint="eastAsia" w:asciiTheme="minorEastAsia" w:hAnsiTheme="minorEastAsia" w:eastAsiaTheme="minorEastAsia" w:cstheme="minorEastAsia"/>
          <w:sz w:val="21"/>
          <w:szCs w:val="21"/>
        </w:rPr>
      </w:pPr>
      <w:bookmarkStart w:id="416" w:name="_Toc23442293"/>
      <w:r>
        <w:rPr>
          <w:rFonts w:hint="eastAsia" w:asciiTheme="minorEastAsia" w:hAnsiTheme="minorEastAsia" w:eastAsiaTheme="minorEastAsia" w:cstheme="minorEastAsia"/>
          <w:sz w:val="21"/>
          <w:szCs w:val="21"/>
        </w:rPr>
        <w:t>各专业毕业生对母校的推荐度</w:t>
      </w:r>
      <w:bookmarkEnd w:id="416"/>
    </w:p>
    <w:p>
      <w:pPr>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注：个别专业由于样本较少没有包括在内。</w:t>
      </w:r>
    </w:p>
    <w:p>
      <w:pPr>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数据来源：麦可思-海南外国语职业学院2019届毕业生培养质量评价数据。</w:t>
      </w:r>
    </w:p>
    <w:p>
      <w:pPr>
        <w:spacing w:line="240" w:lineRule="auto"/>
        <w:jc w:val="left"/>
        <w:rPr>
          <w:rFonts w:hint="eastAsia" w:ascii="Calibri" w:hAnsi="Calibri" w:cs="Calibri"/>
          <w:b/>
          <w:kern w:val="0"/>
          <w:sz w:val="18"/>
          <w:szCs w:val="18"/>
        </w:rPr>
      </w:pPr>
    </w:p>
    <w:bookmarkEnd w:id="415"/>
    <w:p>
      <w:pPr>
        <w:rPr>
          <w:rFonts w:ascii="Calibri" w:hAnsi="Calibri"/>
        </w:rPr>
      </w:pPr>
    </w:p>
    <w:p>
      <w:pPr>
        <w:pStyle w:val="6"/>
        <w:spacing w:line="240" w:lineRule="auto"/>
        <w:jc w:val="left"/>
        <w:rPr>
          <w:rFonts w:ascii="Calibri" w:hAnsi="Calibri" w:cs="Arial"/>
          <w:b w:val="0"/>
          <w:szCs w:val="32"/>
        </w:rPr>
        <w:sectPr>
          <w:footnotePr>
            <w:numRestart w:val="eachPage"/>
          </w:footnotePr>
          <w:pgSz w:w="11906" w:h="16838"/>
          <w:pgMar w:top="1985" w:right="1531" w:bottom="1701" w:left="1701" w:header="964" w:footer="851" w:gutter="0"/>
          <w:pgNumType w:fmt="decimal"/>
          <w:cols w:space="425" w:num="1"/>
          <w:docGrid w:linePitch="312" w:charSpace="0"/>
        </w:sectPr>
      </w:pPr>
    </w:p>
    <w:bookmarkEnd w:id="413"/>
    <w:p>
      <w:pPr>
        <w:pStyle w:val="6"/>
        <w:numPr>
          <w:ilvl w:val="0"/>
          <w:numId w:val="9"/>
        </w:numPr>
        <w:bidi w:val="0"/>
        <w:rPr>
          <w:rFonts w:hint="eastAsia"/>
        </w:rPr>
      </w:pPr>
      <w:bookmarkStart w:id="417" w:name="icb_121"/>
      <w:bookmarkStart w:id="418" w:name="pb_54"/>
      <w:r>
        <w:rPr>
          <w:rFonts w:hint="eastAsia"/>
        </w:rPr>
        <w:t>对学校的总体满意度评价</w:t>
      </w:r>
    </w:p>
    <w:p>
      <w:pPr>
        <w:pStyle w:val="7"/>
        <w:bidi w:val="0"/>
        <w:rPr>
          <w:rFonts w:hint="eastAsia"/>
          <w:lang w:eastAsia="zh-CN"/>
        </w:rPr>
      </w:pPr>
      <w:r>
        <w:rPr>
          <w:rFonts w:hint="eastAsia"/>
          <w:lang w:eastAsia="zh-CN"/>
        </w:rPr>
        <w:t>校友满意度反映了毕业生对在校学习生活等方面的整体感觉。本校2019届毕业生对母校的总体满意度为89%，可见毕业生对母校的整体满意度评价较高，在校期间学习生活体验较好。</w:t>
      </w:r>
    </w:p>
    <w:p>
      <w:pPr>
        <w:jc w:val="center"/>
        <w:rPr>
          <w:rFonts w:hint="eastAsia" w:ascii="Calibri" w:hAnsi="Calibri"/>
        </w:rPr>
      </w:pPr>
      <w:r>
        <w:rPr>
          <w:rFonts w:ascii="Calibri" w:hAnsi="Calibri"/>
        </w:rPr>
        <w:drawing>
          <wp:inline distT="0" distB="0" distL="114300" distR="114300">
            <wp:extent cx="5210175" cy="2514600"/>
            <wp:effectExtent l="0" t="0" r="0" b="0"/>
            <wp:docPr id="10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图片 32"/>
                    <pic:cNvPicPr>
                      <a:picLocks noChangeAspect="1"/>
                    </pic:cNvPicPr>
                  </pic:nvPicPr>
                  <pic:blipFill>
                    <a:blip r:embed="rId72"/>
                    <a:stretch>
                      <a:fillRect/>
                    </a:stretch>
                  </pic:blipFill>
                  <pic:spPr>
                    <a:xfrm>
                      <a:off x="0" y="0"/>
                      <a:ext cx="5210175" cy="2514600"/>
                    </a:xfrm>
                    <a:prstGeom prst="rect">
                      <a:avLst/>
                    </a:prstGeom>
                    <a:noFill/>
                    <a:ln>
                      <a:noFill/>
                    </a:ln>
                  </pic:spPr>
                </pic:pic>
              </a:graphicData>
            </a:graphic>
          </wp:inline>
        </w:drawing>
      </w:r>
    </w:p>
    <w:p>
      <w:pPr>
        <w:pStyle w:val="8"/>
        <w:numPr>
          <w:ilvl w:val="0"/>
          <w:numId w:val="10"/>
        </w:numPr>
        <w:spacing w:line="360" w:lineRule="auto"/>
        <w:rPr>
          <w:rFonts w:hint="eastAsia" w:asciiTheme="minorEastAsia" w:hAnsiTheme="minorEastAsia" w:eastAsiaTheme="minorEastAsia" w:cstheme="minorEastAsia"/>
          <w:sz w:val="21"/>
          <w:szCs w:val="21"/>
          <w:lang w:eastAsia="zh-CN"/>
        </w:rPr>
      </w:pPr>
      <w:bookmarkStart w:id="419" w:name="_Toc23442294"/>
      <w:r>
        <w:rPr>
          <w:rFonts w:hint="eastAsia" w:asciiTheme="minorEastAsia" w:hAnsiTheme="minorEastAsia" w:eastAsiaTheme="minorEastAsia" w:cstheme="minorEastAsia"/>
          <w:sz w:val="21"/>
          <w:szCs w:val="21"/>
        </w:rPr>
        <w:t>毕业生对母校的满意</w:t>
      </w:r>
      <w:r>
        <w:rPr>
          <w:rFonts w:hint="eastAsia" w:asciiTheme="minorEastAsia" w:hAnsiTheme="minorEastAsia" w:eastAsiaTheme="minorEastAsia" w:cstheme="minorEastAsia"/>
          <w:sz w:val="21"/>
          <w:szCs w:val="21"/>
          <w:lang w:eastAsia="zh-CN"/>
        </w:rPr>
        <w:t>度</w:t>
      </w:r>
      <w:bookmarkEnd w:id="419"/>
    </w:p>
    <w:p>
      <w:pPr>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数据来源：麦可思-海南外国语职业学院2019届毕业生培养质量评价数据。</w:t>
      </w:r>
    </w:p>
    <w:p>
      <w:pPr>
        <w:spacing w:line="240" w:lineRule="auto"/>
        <w:rPr>
          <w:rFonts w:ascii="Calibri" w:hAnsi="Calibri" w:cs="Arial"/>
          <w:kern w:val="0"/>
          <w:sz w:val="18"/>
          <w:szCs w:val="18"/>
        </w:rPr>
      </w:pPr>
    </w:p>
    <w:bookmarkEnd w:id="417"/>
    <w:p>
      <w:pPr>
        <w:spacing w:line="240" w:lineRule="auto"/>
        <w:rPr>
          <w:rFonts w:ascii="Calibri" w:hAnsi="Calibri" w:cs="Arial"/>
          <w:kern w:val="0"/>
          <w:sz w:val="18"/>
          <w:szCs w:val="18"/>
        </w:rPr>
      </w:pPr>
    </w:p>
    <w:p>
      <w:pPr>
        <w:spacing w:line="240" w:lineRule="auto"/>
        <w:rPr>
          <w:rFonts w:hint="eastAsia" w:ascii="Calibri" w:hAnsi="Calibri"/>
        </w:rPr>
        <w:sectPr>
          <w:footnotePr>
            <w:numRestart w:val="eachPage"/>
          </w:footnotePr>
          <w:pgSz w:w="11906" w:h="16838"/>
          <w:pgMar w:top="1985" w:right="1531" w:bottom="1701" w:left="1701" w:header="964" w:footer="851" w:gutter="0"/>
          <w:pgNumType w:fmt="decimal"/>
          <w:cols w:space="425" w:num="1"/>
          <w:docGrid w:linePitch="312" w:charSpace="0"/>
        </w:sectPr>
      </w:pPr>
    </w:p>
    <w:bookmarkEnd w:id="418"/>
    <w:p>
      <w:pPr>
        <w:pStyle w:val="6"/>
        <w:numPr>
          <w:ilvl w:val="0"/>
          <w:numId w:val="9"/>
        </w:numPr>
        <w:bidi w:val="0"/>
      </w:pPr>
      <w:bookmarkStart w:id="420" w:name="icb_8026"/>
      <w:bookmarkStart w:id="421" w:name="pb_508"/>
      <w:r>
        <w:t>各院系及</w:t>
      </w:r>
      <w:r>
        <w:rPr>
          <w:rFonts w:hint="eastAsia"/>
        </w:rPr>
        <w:t>专业</w:t>
      </w:r>
      <w:r>
        <w:t>对</w:t>
      </w:r>
      <w:r>
        <w:rPr>
          <w:rFonts w:hint="eastAsia"/>
        </w:rPr>
        <w:t>学校</w:t>
      </w:r>
      <w:r>
        <w:t>的满意度</w:t>
      </w:r>
    </w:p>
    <w:p>
      <w:pPr>
        <w:pStyle w:val="7"/>
        <w:bidi w:val="0"/>
        <w:rPr>
          <w:rFonts w:hint="eastAsia"/>
          <w:lang w:eastAsia="zh-CN"/>
        </w:rPr>
      </w:pPr>
      <w:r>
        <w:rPr>
          <w:rFonts w:hint="eastAsia"/>
          <w:lang w:eastAsia="zh-CN"/>
        </w:rPr>
        <w:t>本校2019届毕业生中，国际商务系、英语系、东语系、旅游系、西语系对母校的满意度分别为92%、90%、89%、88%、86%。</w:t>
      </w:r>
    </w:p>
    <w:p>
      <w:pPr>
        <w:jc w:val="center"/>
        <w:rPr>
          <w:rFonts w:hint="eastAsia" w:ascii="Calibri" w:hAnsi="Calibri"/>
        </w:rPr>
      </w:pPr>
      <w:r>
        <w:rPr>
          <w:rFonts w:ascii="Calibri" w:hAnsi="Calibri"/>
        </w:rPr>
        <w:drawing>
          <wp:inline distT="0" distB="0" distL="114300" distR="114300">
            <wp:extent cx="5067300" cy="3924300"/>
            <wp:effectExtent l="0" t="0" r="0" b="0"/>
            <wp:docPr id="99"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图片 33"/>
                    <pic:cNvPicPr>
                      <a:picLocks noChangeAspect="1"/>
                    </pic:cNvPicPr>
                  </pic:nvPicPr>
                  <pic:blipFill>
                    <a:blip r:embed="rId73"/>
                    <a:stretch>
                      <a:fillRect/>
                    </a:stretch>
                  </pic:blipFill>
                  <pic:spPr>
                    <a:xfrm>
                      <a:off x="0" y="0"/>
                      <a:ext cx="5067300" cy="3924300"/>
                    </a:xfrm>
                    <a:prstGeom prst="rect">
                      <a:avLst/>
                    </a:prstGeom>
                    <a:noFill/>
                    <a:ln>
                      <a:noFill/>
                    </a:ln>
                  </pic:spPr>
                </pic:pic>
              </a:graphicData>
            </a:graphic>
          </wp:inline>
        </w:drawing>
      </w:r>
    </w:p>
    <w:p>
      <w:pPr>
        <w:pStyle w:val="8"/>
        <w:numPr>
          <w:ilvl w:val="0"/>
          <w:numId w:val="10"/>
        </w:numPr>
        <w:spacing w:line="360" w:lineRule="auto"/>
        <w:rPr>
          <w:rFonts w:hint="eastAsia" w:eastAsia="宋体" w:cs="Calibri"/>
        </w:rPr>
      </w:pPr>
      <w:bookmarkStart w:id="422" w:name="_Toc23442295"/>
      <w:r>
        <w:rPr>
          <w:rFonts w:hint="eastAsia" w:asciiTheme="minorEastAsia" w:hAnsiTheme="minorEastAsia" w:eastAsiaTheme="minorEastAsia" w:cstheme="minorEastAsia"/>
          <w:sz w:val="21"/>
          <w:szCs w:val="21"/>
        </w:rPr>
        <w:t>各院系毕业生对母校的满意度</w:t>
      </w:r>
      <w:bookmarkEnd w:id="422"/>
    </w:p>
    <w:p>
      <w:pPr>
        <w:jc w:val="left"/>
        <w:rPr>
          <w:rFonts w:hint="eastAsia" w:ascii="宋体" w:hAnsi="宋体" w:eastAsia="宋体" w:cs="宋体"/>
          <w:color w:val="000000"/>
          <w:sz w:val="21"/>
          <w:szCs w:val="21"/>
        </w:rPr>
      </w:pPr>
      <w:r>
        <w:rPr>
          <w:rFonts w:hint="eastAsia" w:ascii="宋体" w:hAnsi="宋体" w:eastAsia="宋体" w:cs="宋体"/>
          <w:color w:val="000000"/>
          <w:sz w:val="21"/>
          <w:szCs w:val="21"/>
        </w:rPr>
        <w:t>注：个别院系由于样本较少没有包括在内。</w:t>
      </w:r>
    </w:p>
    <w:p>
      <w:pPr>
        <w:jc w:val="left"/>
        <w:rPr>
          <w:rFonts w:hint="eastAsia" w:ascii="宋体" w:hAnsi="宋体" w:eastAsia="宋体" w:cs="宋体"/>
          <w:color w:val="000000"/>
          <w:sz w:val="21"/>
          <w:szCs w:val="21"/>
        </w:rPr>
      </w:pPr>
      <w:r>
        <w:rPr>
          <w:rFonts w:hint="eastAsia" w:ascii="宋体" w:hAnsi="宋体" w:eastAsia="宋体" w:cs="宋体"/>
          <w:color w:val="000000"/>
          <w:sz w:val="21"/>
          <w:szCs w:val="21"/>
        </w:rPr>
        <w:t>数据来源：麦可思-海南外国语职业学院2019届毕业生培养质量评价数据。</w:t>
      </w:r>
    </w:p>
    <w:bookmarkEnd w:id="420"/>
    <w:p>
      <w:pPr>
        <w:rPr>
          <w:rFonts w:ascii="Calibri" w:hAnsi="Calibri"/>
        </w:rPr>
      </w:pPr>
    </w:p>
    <w:p>
      <w:pPr>
        <w:rPr>
          <w:rFonts w:hint="eastAsia" w:ascii="Calibri" w:hAnsi="Calibri"/>
        </w:rPr>
      </w:pPr>
    </w:p>
    <w:p>
      <w:pPr>
        <w:rPr>
          <w:rFonts w:ascii="Calibri" w:hAnsi="Calibri" w:cs="Arial"/>
          <w:kern w:val="0"/>
          <w:sz w:val="18"/>
          <w:szCs w:val="18"/>
        </w:rPr>
        <w:sectPr>
          <w:footnotePr>
            <w:numRestart w:val="eachSect"/>
          </w:footnotePr>
          <w:pgSz w:w="11906" w:h="16838"/>
          <w:pgMar w:top="1985" w:right="1531" w:bottom="1701" w:left="1701" w:header="964" w:footer="851" w:gutter="0"/>
          <w:pgNumType w:fmt="decimal"/>
          <w:cols w:space="425" w:num="1"/>
          <w:docGrid w:linePitch="312" w:charSpace="0"/>
        </w:sectPr>
      </w:pPr>
    </w:p>
    <w:bookmarkEnd w:id="421"/>
    <w:p>
      <w:pPr>
        <w:pStyle w:val="7"/>
        <w:bidi w:val="0"/>
        <w:rPr>
          <w:rFonts w:hint="eastAsia"/>
          <w:lang w:eastAsia="zh-CN"/>
        </w:rPr>
      </w:pPr>
      <w:bookmarkStart w:id="423" w:name="icb_8027"/>
      <w:r>
        <w:rPr>
          <w:rFonts w:hint="eastAsia"/>
          <w:lang w:eastAsia="zh-CN"/>
        </w:rPr>
        <w:t>本校2019届毕业生对母校满意度较高的专业是应用英语（涉外事务）（100%），对母校满意度较低的专业是应用法语（68%）。</w:t>
      </w:r>
    </w:p>
    <w:p>
      <w:pPr>
        <w:jc w:val="center"/>
        <w:rPr>
          <w:rFonts w:ascii="Calibri" w:hAnsi="Calibri"/>
        </w:rPr>
      </w:pPr>
      <w:r>
        <w:rPr>
          <w:rFonts w:ascii="Calibri" w:hAnsi="Calibri"/>
        </w:rPr>
        <w:drawing>
          <wp:inline distT="0" distB="0" distL="114300" distR="114300">
            <wp:extent cx="5067300" cy="5962650"/>
            <wp:effectExtent l="0" t="0" r="0" b="0"/>
            <wp:docPr id="103"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图片 34"/>
                    <pic:cNvPicPr>
                      <a:picLocks noChangeAspect="1"/>
                    </pic:cNvPicPr>
                  </pic:nvPicPr>
                  <pic:blipFill>
                    <a:blip r:embed="rId74"/>
                    <a:stretch>
                      <a:fillRect/>
                    </a:stretch>
                  </pic:blipFill>
                  <pic:spPr>
                    <a:xfrm>
                      <a:off x="0" y="0"/>
                      <a:ext cx="5067300" cy="5962650"/>
                    </a:xfrm>
                    <a:prstGeom prst="rect">
                      <a:avLst/>
                    </a:prstGeom>
                    <a:noFill/>
                    <a:ln>
                      <a:noFill/>
                    </a:ln>
                  </pic:spPr>
                </pic:pic>
              </a:graphicData>
            </a:graphic>
          </wp:inline>
        </w:drawing>
      </w:r>
    </w:p>
    <w:p>
      <w:pPr>
        <w:pStyle w:val="8"/>
        <w:numPr>
          <w:ilvl w:val="0"/>
          <w:numId w:val="10"/>
        </w:numPr>
        <w:spacing w:line="360" w:lineRule="auto"/>
        <w:rPr>
          <w:rFonts w:hint="eastAsia" w:asciiTheme="minorEastAsia" w:hAnsiTheme="minorEastAsia" w:eastAsiaTheme="minorEastAsia" w:cstheme="minorEastAsia"/>
          <w:sz w:val="21"/>
          <w:szCs w:val="21"/>
        </w:rPr>
      </w:pPr>
      <w:bookmarkStart w:id="424" w:name="_Toc23442296"/>
      <w:r>
        <w:rPr>
          <w:rFonts w:hint="eastAsia" w:asciiTheme="minorEastAsia" w:hAnsiTheme="minorEastAsia" w:eastAsiaTheme="minorEastAsia" w:cstheme="minorEastAsia"/>
          <w:sz w:val="21"/>
          <w:szCs w:val="21"/>
        </w:rPr>
        <w:t>各专业毕业生对母校的满意度</w:t>
      </w:r>
      <w:bookmarkEnd w:id="424"/>
    </w:p>
    <w:p>
      <w:pPr>
        <w:jc w:val="left"/>
        <w:rPr>
          <w:rFonts w:hint="eastAsia" w:ascii="宋体" w:hAnsi="宋体" w:eastAsia="宋体" w:cs="宋体"/>
          <w:color w:val="000000"/>
          <w:sz w:val="21"/>
          <w:szCs w:val="21"/>
        </w:rPr>
      </w:pPr>
      <w:r>
        <w:rPr>
          <w:rFonts w:hint="eastAsia" w:ascii="宋体" w:hAnsi="宋体" w:eastAsia="宋体" w:cs="宋体"/>
          <w:color w:val="000000"/>
          <w:sz w:val="21"/>
          <w:szCs w:val="21"/>
        </w:rPr>
        <w:t>注：个别专业由于样本较少没有包括在内。</w:t>
      </w:r>
    </w:p>
    <w:p>
      <w:pPr>
        <w:jc w:val="left"/>
        <w:rPr>
          <w:rFonts w:ascii="Calibri" w:hAnsi="Calibri"/>
          <w:color w:val="000000"/>
          <w:sz w:val="18"/>
        </w:rPr>
      </w:pPr>
      <w:r>
        <w:rPr>
          <w:rFonts w:hint="eastAsia" w:ascii="宋体" w:hAnsi="宋体" w:eastAsia="宋体" w:cs="宋体"/>
          <w:color w:val="000000"/>
          <w:sz w:val="21"/>
          <w:szCs w:val="21"/>
        </w:rPr>
        <w:t>数据来源：麦可思-海南外国语职业学院2019届毕业生培养质量评价数据。</w:t>
      </w:r>
    </w:p>
    <w:bookmarkEnd w:id="423"/>
    <w:p>
      <w:pPr>
        <w:rPr>
          <w:rFonts w:ascii="Calibri" w:hAnsi="Calibri"/>
        </w:rPr>
      </w:pPr>
    </w:p>
    <w:p>
      <w:pPr>
        <w:rPr>
          <w:rFonts w:hint="eastAsia" w:ascii="Calibri" w:hAnsi="Calibri"/>
        </w:rPr>
      </w:pPr>
    </w:p>
    <w:p>
      <w:pPr>
        <w:rPr>
          <w:rFonts w:hint="eastAsia" w:ascii="Calibri" w:hAnsi="Calibri"/>
        </w:rPr>
        <w:sectPr>
          <w:footnotePr>
            <w:numRestart w:val="eachSect"/>
          </w:footnotePr>
          <w:pgSz w:w="11906" w:h="16838"/>
          <w:pgMar w:top="1985" w:right="1531" w:bottom="1701" w:left="1701" w:header="964" w:footer="851" w:gutter="0"/>
          <w:pgNumType w:fmt="decimal"/>
          <w:cols w:space="425" w:num="1"/>
          <w:docGrid w:linePitch="312" w:charSpace="0"/>
        </w:sectPr>
      </w:pPr>
    </w:p>
    <w:bookmarkEnd w:id="408"/>
    <w:p>
      <w:pPr>
        <w:pStyle w:val="4"/>
        <w:bidi w:val="0"/>
        <w:ind w:left="0" w:leftChars="0" w:firstLine="400" w:firstLineChars="0"/>
        <w:rPr>
          <w:rFonts w:hint="eastAsia"/>
        </w:rPr>
      </w:pPr>
      <w:bookmarkStart w:id="425" w:name="_Toc23434200"/>
      <w:bookmarkStart w:id="426" w:name="_Toc13809"/>
      <w:bookmarkStart w:id="427" w:name="pb_55"/>
      <w:r>
        <w:rPr>
          <w:rFonts w:hint="eastAsia"/>
        </w:rPr>
        <w:t>就业对教学的反馈</w:t>
      </w:r>
      <w:bookmarkEnd w:id="425"/>
      <w:bookmarkEnd w:id="426"/>
    </w:p>
    <w:p>
      <w:pPr>
        <w:pStyle w:val="6"/>
        <w:numPr>
          <w:ilvl w:val="0"/>
          <w:numId w:val="11"/>
        </w:numPr>
        <w:bidi w:val="0"/>
        <w:rPr>
          <w:rFonts w:hint="eastAsia"/>
        </w:rPr>
      </w:pPr>
      <w:bookmarkStart w:id="428" w:name="icb_127"/>
      <w:bookmarkStart w:id="429" w:name="pb_56"/>
      <w:r>
        <w:rPr>
          <w:rFonts w:hint="eastAsia"/>
        </w:rPr>
        <w:t>总体教学满意度评价</w:t>
      </w:r>
    </w:p>
    <w:p>
      <w:pPr>
        <w:pStyle w:val="7"/>
        <w:bidi w:val="0"/>
        <w:rPr>
          <w:rFonts w:hint="eastAsia"/>
          <w:lang w:eastAsia="zh-CN"/>
        </w:rPr>
      </w:pPr>
      <w:r>
        <w:rPr>
          <w:rFonts w:hint="eastAsia"/>
          <w:lang w:eastAsia="zh-CN"/>
        </w:rPr>
        <w:t>教学满意度能反映学校教学工作的整体开展效果。本校2019届毕业生对母校的教学满意度为91%，可见本校教学工作开展情况较好，得到了毕业生的认可。</w:t>
      </w:r>
    </w:p>
    <w:p>
      <w:pPr>
        <w:jc w:val="center"/>
        <w:rPr>
          <w:rFonts w:hint="eastAsia" w:ascii="Calibri" w:hAnsi="Calibri" w:cs="Arial"/>
          <w:b/>
          <w:szCs w:val="21"/>
        </w:rPr>
      </w:pPr>
      <w:r>
        <w:rPr>
          <w:rFonts w:ascii="Calibri" w:hAnsi="Calibri"/>
        </w:rPr>
        <w:drawing>
          <wp:inline distT="0" distB="0" distL="114300" distR="114300">
            <wp:extent cx="5210175" cy="2514600"/>
            <wp:effectExtent l="0" t="0" r="0" b="0"/>
            <wp:docPr id="104"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图片 35"/>
                    <pic:cNvPicPr>
                      <a:picLocks noChangeAspect="1"/>
                    </pic:cNvPicPr>
                  </pic:nvPicPr>
                  <pic:blipFill>
                    <a:blip r:embed="rId75"/>
                    <a:stretch>
                      <a:fillRect/>
                    </a:stretch>
                  </pic:blipFill>
                  <pic:spPr>
                    <a:xfrm>
                      <a:off x="0" y="0"/>
                      <a:ext cx="5210175" cy="2514600"/>
                    </a:xfrm>
                    <a:prstGeom prst="rect">
                      <a:avLst/>
                    </a:prstGeom>
                    <a:noFill/>
                    <a:ln>
                      <a:noFill/>
                    </a:ln>
                  </pic:spPr>
                </pic:pic>
              </a:graphicData>
            </a:graphic>
          </wp:inline>
        </w:drawing>
      </w:r>
    </w:p>
    <w:p>
      <w:pPr>
        <w:pStyle w:val="8"/>
        <w:numPr>
          <w:ilvl w:val="0"/>
          <w:numId w:val="10"/>
        </w:numPr>
        <w:spacing w:line="360" w:lineRule="auto"/>
        <w:rPr>
          <w:rFonts w:hint="eastAsia" w:asciiTheme="minorEastAsia" w:hAnsiTheme="minorEastAsia" w:eastAsiaTheme="minorEastAsia" w:cstheme="minorEastAsia"/>
          <w:sz w:val="21"/>
          <w:szCs w:val="21"/>
          <w:lang w:val="en-US"/>
        </w:rPr>
      </w:pPr>
      <w:bookmarkStart w:id="430" w:name="_Toc23442297"/>
      <w:r>
        <w:rPr>
          <w:rFonts w:hint="eastAsia" w:asciiTheme="minorEastAsia" w:hAnsiTheme="minorEastAsia" w:eastAsiaTheme="minorEastAsia" w:cstheme="minorEastAsia"/>
          <w:sz w:val="21"/>
          <w:szCs w:val="21"/>
          <w:lang w:val="en-US"/>
        </w:rPr>
        <w:t>毕业生对母校的教学满意度</w:t>
      </w:r>
      <w:bookmarkEnd w:id="430"/>
    </w:p>
    <w:p>
      <w:pPr>
        <w:jc w:val="left"/>
        <w:rPr>
          <w:rFonts w:hint="eastAsia" w:ascii="宋体" w:hAnsi="宋体" w:eastAsia="宋体" w:cs="宋体"/>
          <w:color w:val="000000"/>
          <w:sz w:val="21"/>
          <w:szCs w:val="21"/>
        </w:rPr>
      </w:pPr>
      <w:r>
        <w:rPr>
          <w:rFonts w:hint="eastAsia" w:ascii="宋体" w:hAnsi="宋体" w:eastAsia="宋体" w:cs="宋体"/>
          <w:color w:val="000000"/>
          <w:sz w:val="21"/>
          <w:szCs w:val="21"/>
        </w:rPr>
        <w:t>数据来源：麦可思-海南外国语职业学院2019届毕业生培养质量评价数据。</w:t>
      </w:r>
    </w:p>
    <w:p>
      <w:pPr>
        <w:pStyle w:val="6"/>
        <w:spacing w:line="240" w:lineRule="auto"/>
        <w:rPr>
          <w:rFonts w:ascii="Calibri" w:hAnsi="Calibri" w:cs="Arial"/>
          <w:b w:val="0"/>
          <w:kern w:val="0"/>
          <w:sz w:val="18"/>
          <w:szCs w:val="18"/>
        </w:rPr>
      </w:pPr>
    </w:p>
    <w:bookmarkEnd w:id="428"/>
    <w:p>
      <w:pPr>
        <w:pStyle w:val="6"/>
        <w:spacing w:line="240" w:lineRule="auto"/>
        <w:rPr>
          <w:rFonts w:ascii="Calibri" w:hAnsi="Calibri" w:cs="Arial"/>
          <w:b w:val="0"/>
          <w:kern w:val="0"/>
          <w:sz w:val="18"/>
          <w:szCs w:val="18"/>
        </w:rPr>
      </w:pPr>
    </w:p>
    <w:p>
      <w:pPr>
        <w:jc w:val="left"/>
        <w:rPr>
          <w:rFonts w:ascii="Calibri" w:hAnsi="Calibri"/>
        </w:rPr>
        <w:sectPr>
          <w:footnotePr>
            <w:numRestart w:val="eachSect"/>
          </w:footnotePr>
          <w:pgSz w:w="11906" w:h="16838"/>
          <w:pgMar w:top="1985" w:right="1531" w:bottom="1701" w:left="1701" w:header="964" w:footer="851" w:gutter="0"/>
          <w:pgNumType w:fmt="decimal"/>
          <w:cols w:space="425" w:num="1"/>
          <w:docGrid w:linePitch="312" w:charSpace="0"/>
        </w:sectPr>
      </w:pPr>
    </w:p>
    <w:bookmarkEnd w:id="429"/>
    <w:p>
      <w:pPr>
        <w:pStyle w:val="6"/>
        <w:numPr>
          <w:ilvl w:val="0"/>
          <w:numId w:val="11"/>
        </w:numPr>
        <w:bidi w:val="0"/>
        <w:rPr>
          <w:rFonts w:hint="eastAsia"/>
        </w:rPr>
      </w:pPr>
      <w:bookmarkStart w:id="431" w:name="icb_128"/>
      <w:bookmarkStart w:id="432" w:name="pb_57"/>
      <w:r>
        <w:rPr>
          <w:rFonts w:hint="eastAsia"/>
        </w:rPr>
        <w:t>各院系及专业</w:t>
      </w:r>
      <w:r>
        <w:rPr>
          <w:rFonts w:hint="eastAsia"/>
          <w:lang w:eastAsia="zh-CN"/>
        </w:rPr>
        <w:t>毕业生</w:t>
      </w:r>
      <w:r>
        <w:rPr>
          <w:rFonts w:hint="eastAsia"/>
        </w:rPr>
        <w:t>的教学满意度</w:t>
      </w:r>
    </w:p>
    <w:p>
      <w:pPr>
        <w:pStyle w:val="7"/>
        <w:bidi w:val="0"/>
        <w:rPr>
          <w:rFonts w:hint="eastAsia"/>
          <w:lang w:eastAsia="zh-CN"/>
        </w:rPr>
      </w:pPr>
      <w:r>
        <w:rPr>
          <w:rFonts w:hint="eastAsia"/>
          <w:lang w:eastAsia="zh-CN"/>
        </w:rPr>
        <w:t>本校2019届毕业生中，西语系、东语系、国际商务系、旅游系、英语系的教学满意度分别为96%、95%、90%、89%、88%。</w:t>
      </w:r>
    </w:p>
    <w:p>
      <w:pPr>
        <w:jc w:val="center"/>
        <w:rPr>
          <w:rFonts w:ascii="Calibri" w:hAnsi="Calibri"/>
        </w:rPr>
      </w:pPr>
      <w:r>
        <w:rPr>
          <w:rFonts w:ascii="Calibri" w:hAnsi="Calibri"/>
        </w:rPr>
        <w:drawing>
          <wp:inline distT="0" distB="0" distL="114300" distR="114300">
            <wp:extent cx="5067300" cy="3924300"/>
            <wp:effectExtent l="0" t="0" r="0" b="0"/>
            <wp:docPr id="105"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图片 36"/>
                    <pic:cNvPicPr>
                      <a:picLocks noChangeAspect="1"/>
                    </pic:cNvPicPr>
                  </pic:nvPicPr>
                  <pic:blipFill>
                    <a:blip r:embed="rId76"/>
                    <a:stretch>
                      <a:fillRect/>
                    </a:stretch>
                  </pic:blipFill>
                  <pic:spPr>
                    <a:xfrm>
                      <a:off x="0" y="0"/>
                      <a:ext cx="5067300" cy="3924300"/>
                    </a:xfrm>
                    <a:prstGeom prst="rect">
                      <a:avLst/>
                    </a:prstGeom>
                    <a:noFill/>
                    <a:ln>
                      <a:noFill/>
                    </a:ln>
                  </pic:spPr>
                </pic:pic>
              </a:graphicData>
            </a:graphic>
          </wp:inline>
        </w:drawing>
      </w:r>
    </w:p>
    <w:p>
      <w:pPr>
        <w:pStyle w:val="8"/>
        <w:numPr>
          <w:ilvl w:val="0"/>
          <w:numId w:val="10"/>
        </w:numPr>
        <w:spacing w:line="360" w:lineRule="auto"/>
        <w:rPr>
          <w:rFonts w:hint="eastAsia" w:asciiTheme="minorEastAsia" w:hAnsiTheme="minorEastAsia" w:eastAsiaTheme="minorEastAsia" w:cstheme="minorEastAsia"/>
          <w:sz w:val="21"/>
          <w:szCs w:val="21"/>
        </w:rPr>
      </w:pPr>
      <w:bookmarkStart w:id="433" w:name="_Toc23442298"/>
      <w:r>
        <w:rPr>
          <w:rFonts w:hint="eastAsia" w:asciiTheme="minorEastAsia" w:hAnsiTheme="minorEastAsia" w:eastAsiaTheme="minorEastAsia" w:cstheme="minorEastAsia"/>
          <w:sz w:val="21"/>
          <w:szCs w:val="21"/>
        </w:rPr>
        <w:t>各院系毕业生的教学满意度</w:t>
      </w:r>
      <w:bookmarkEnd w:id="433"/>
    </w:p>
    <w:p>
      <w:pPr>
        <w:jc w:val="left"/>
        <w:rPr>
          <w:rFonts w:hint="eastAsia" w:ascii="宋体" w:hAnsi="宋体" w:eastAsia="宋体" w:cs="宋体"/>
          <w:color w:val="000000"/>
          <w:sz w:val="21"/>
          <w:szCs w:val="21"/>
        </w:rPr>
      </w:pPr>
      <w:r>
        <w:rPr>
          <w:rFonts w:hint="eastAsia" w:ascii="宋体" w:hAnsi="宋体" w:eastAsia="宋体" w:cs="宋体"/>
          <w:color w:val="000000"/>
          <w:sz w:val="21"/>
          <w:szCs w:val="21"/>
        </w:rPr>
        <w:t>注：个别院系因样本较少没有包括在内。</w:t>
      </w:r>
    </w:p>
    <w:p>
      <w:pPr>
        <w:jc w:val="left"/>
        <w:rPr>
          <w:rFonts w:hint="eastAsia" w:ascii="宋体" w:hAnsi="宋体" w:eastAsia="宋体" w:cs="宋体"/>
          <w:color w:val="000000"/>
          <w:sz w:val="21"/>
          <w:szCs w:val="21"/>
        </w:rPr>
      </w:pPr>
      <w:r>
        <w:rPr>
          <w:rFonts w:hint="eastAsia" w:ascii="宋体" w:hAnsi="宋体" w:eastAsia="宋体" w:cs="宋体"/>
          <w:color w:val="000000"/>
          <w:sz w:val="21"/>
          <w:szCs w:val="21"/>
        </w:rPr>
        <w:t>数据来源：麦可思-海南外国语职业学院2019届毕业生培养质量评价数据。</w:t>
      </w:r>
    </w:p>
    <w:bookmarkEnd w:id="431"/>
    <w:p>
      <w:pPr>
        <w:rPr>
          <w:rFonts w:hint="eastAsia" w:ascii="Calibri" w:hAnsi="Calibri"/>
        </w:rPr>
      </w:pPr>
    </w:p>
    <w:p>
      <w:pPr>
        <w:rPr>
          <w:rFonts w:ascii="Calibri" w:hAnsi="Calibri"/>
        </w:rPr>
      </w:pPr>
    </w:p>
    <w:p>
      <w:pPr>
        <w:jc w:val="left"/>
        <w:rPr>
          <w:rFonts w:ascii="Calibri" w:hAnsi="Calibri"/>
        </w:rPr>
        <w:sectPr>
          <w:footnotePr>
            <w:numRestart w:val="eachSect"/>
          </w:footnotePr>
          <w:pgSz w:w="11906" w:h="16838"/>
          <w:pgMar w:top="1985" w:right="1531" w:bottom="1701" w:left="1701" w:header="964" w:footer="851" w:gutter="0"/>
          <w:pgNumType w:fmt="decimal"/>
          <w:cols w:space="425" w:num="1"/>
          <w:docGrid w:linePitch="312" w:charSpace="0"/>
        </w:sectPr>
      </w:pPr>
    </w:p>
    <w:bookmarkEnd w:id="432"/>
    <w:p>
      <w:pPr>
        <w:pStyle w:val="7"/>
        <w:bidi w:val="0"/>
        <w:rPr>
          <w:rFonts w:hint="eastAsia"/>
          <w:lang w:eastAsia="zh-CN"/>
        </w:rPr>
      </w:pPr>
      <w:bookmarkStart w:id="434" w:name="icb_8028"/>
      <w:r>
        <w:rPr>
          <w:rFonts w:hint="eastAsia"/>
          <w:lang w:eastAsia="zh-CN"/>
        </w:rPr>
        <w:t>本校2019届毕业生教学满意度较高的专业是应用德语、应用西班牙语（均为100%），教学满意度较低的专业是会计、应用英语（涉外事务）（均为80%）。</w:t>
      </w:r>
    </w:p>
    <w:p>
      <w:pPr>
        <w:jc w:val="center"/>
        <w:rPr>
          <w:rFonts w:ascii="Calibri" w:hAnsi="Calibri"/>
        </w:rPr>
      </w:pPr>
      <w:r>
        <w:rPr>
          <w:rFonts w:ascii="Calibri" w:hAnsi="Calibri"/>
        </w:rPr>
        <w:drawing>
          <wp:inline distT="0" distB="0" distL="114300" distR="114300">
            <wp:extent cx="5067300" cy="5962650"/>
            <wp:effectExtent l="0" t="0" r="0" b="0"/>
            <wp:docPr id="106"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图片 37"/>
                    <pic:cNvPicPr>
                      <a:picLocks noChangeAspect="1"/>
                    </pic:cNvPicPr>
                  </pic:nvPicPr>
                  <pic:blipFill>
                    <a:blip r:embed="rId77"/>
                    <a:stretch>
                      <a:fillRect/>
                    </a:stretch>
                  </pic:blipFill>
                  <pic:spPr>
                    <a:xfrm>
                      <a:off x="0" y="0"/>
                      <a:ext cx="5067300" cy="5962650"/>
                    </a:xfrm>
                    <a:prstGeom prst="rect">
                      <a:avLst/>
                    </a:prstGeom>
                    <a:noFill/>
                    <a:ln>
                      <a:noFill/>
                    </a:ln>
                  </pic:spPr>
                </pic:pic>
              </a:graphicData>
            </a:graphic>
          </wp:inline>
        </w:drawing>
      </w:r>
    </w:p>
    <w:p>
      <w:pPr>
        <w:pStyle w:val="8"/>
        <w:numPr>
          <w:ilvl w:val="0"/>
          <w:numId w:val="10"/>
        </w:numPr>
        <w:spacing w:line="360" w:lineRule="auto"/>
        <w:rPr>
          <w:rFonts w:hint="eastAsia" w:asciiTheme="minorEastAsia" w:hAnsiTheme="minorEastAsia" w:eastAsiaTheme="minorEastAsia" w:cstheme="minorEastAsia"/>
          <w:sz w:val="21"/>
          <w:szCs w:val="21"/>
        </w:rPr>
      </w:pPr>
      <w:bookmarkStart w:id="435" w:name="_Toc23442299"/>
      <w:r>
        <w:rPr>
          <w:rFonts w:hint="eastAsia" w:asciiTheme="minorEastAsia" w:hAnsiTheme="minorEastAsia" w:eastAsiaTheme="minorEastAsia" w:cstheme="minorEastAsia"/>
          <w:sz w:val="21"/>
          <w:szCs w:val="21"/>
        </w:rPr>
        <w:t>各专业毕业生的教学满意度</w:t>
      </w:r>
      <w:bookmarkEnd w:id="435"/>
    </w:p>
    <w:p>
      <w:pPr>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注：个别专业因样本较少没有包括在内。</w:t>
      </w:r>
    </w:p>
    <w:p>
      <w:pPr>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数据来源：麦可思-海南外国语职业学院2019届毕业生培养质量评价数据。</w:t>
      </w:r>
    </w:p>
    <w:bookmarkEnd w:id="434"/>
    <w:p>
      <w:pPr>
        <w:pStyle w:val="6"/>
        <w:spacing w:line="240" w:lineRule="auto"/>
        <w:rPr>
          <w:rFonts w:ascii="Calibri" w:hAnsi="Calibri" w:cs="Arial"/>
          <w:b w:val="0"/>
          <w:kern w:val="0"/>
          <w:sz w:val="18"/>
          <w:szCs w:val="18"/>
        </w:rPr>
      </w:pPr>
    </w:p>
    <w:p>
      <w:pPr>
        <w:pStyle w:val="6"/>
        <w:spacing w:line="240" w:lineRule="auto"/>
        <w:rPr>
          <w:rFonts w:hint="eastAsia" w:ascii="Calibri" w:hAnsi="Calibri" w:cs="Arial"/>
          <w:b w:val="0"/>
          <w:kern w:val="0"/>
          <w:sz w:val="18"/>
          <w:szCs w:val="18"/>
        </w:rPr>
      </w:pPr>
    </w:p>
    <w:p>
      <w:pPr>
        <w:pStyle w:val="4"/>
        <w:bidi w:val="0"/>
        <w:sectPr>
          <w:footnotePr>
            <w:numRestart w:val="eachSect"/>
          </w:footnotePr>
          <w:pgSz w:w="11906" w:h="16838"/>
          <w:pgMar w:top="1985" w:right="1531" w:bottom="1701" w:left="1701" w:header="964" w:footer="851" w:gutter="0"/>
          <w:pgNumType w:fmt="decimal"/>
          <w:cols w:space="425" w:num="1"/>
          <w:docGrid w:linePitch="312" w:charSpace="0"/>
        </w:sectPr>
      </w:pPr>
    </w:p>
    <w:bookmarkEnd w:id="427"/>
    <w:p>
      <w:pPr>
        <w:pStyle w:val="4"/>
        <w:bidi w:val="0"/>
        <w:ind w:left="0" w:leftChars="0" w:firstLine="400" w:firstLineChars="0"/>
      </w:pPr>
      <w:bookmarkStart w:id="436" w:name="_Toc23434201"/>
      <w:bookmarkStart w:id="437" w:name="_Toc24700"/>
      <w:bookmarkStart w:id="438" w:name="pb_58"/>
      <w:r>
        <w:t>通用能力培养</w:t>
      </w:r>
      <w:bookmarkEnd w:id="436"/>
      <w:bookmarkEnd w:id="437"/>
    </w:p>
    <w:p>
      <w:pPr>
        <w:pStyle w:val="6"/>
        <w:numPr>
          <w:ilvl w:val="0"/>
          <w:numId w:val="12"/>
        </w:numPr>
        <w:bidi w:val="0"/>
      </w:pPr>
      <w:bookmarkStart w:id="439" w:name="icb_134"/>
      <w:bookmarkStart w:id="440" w:name="pb_59"/>
      <w:r>
        <w:rPr>
          <w:rFonts w:hint="eastAsia"/>
        </w:rPr>
        <w:t>工作中最重要的通用能力</w:t>
      </w:r>
    </w:p>
    <w:p>
      <w:pPr>
        <w:pStyle w:val="7"/>
        <w:bidi w:val="0"/>
        <w:rPr>
          <w:rFonts w:hint="eastAsia"/>
          <w:lang w:eastAsia="zh-CN"/>
        </w:rPr>
      </w:pPr>
      <w:r>
        <w:rPr>
          <w:rFonts w:hint="eastAsia"/>
          <w:lang w:eastAsia="zh-CN"/>
        </w:rPr>
        <w:t>本校2019届毕业生认为工作中最重要的通用能力是“沟通与交流能力”（90%），其后依次是“解决问题能力”（84%）、“团队合作能力”（83%）等。</w:t>
      </w:r>
    </w:p>
    <w:p>
      <w:pPr>
        <w:jc w:val="center"/>
        <w:rPr>
          <w:rFonts w:hint="eastAsia" w:ascii="Calibri" w:hAnsi="Calibri"/>
        </w:rPr>
      </w:pPr>
      <w:r>
        <w:rPr>
          <w:rFonts w:ascii="Calibri" w:hAnsi="Calibri"/>
        </w:rPr>
        <w:drawing>
          <wp:inline distT="0" distB="0" distL="114300" distR="114300">
            <wp:extent cx="5067300" cy="4495800"/>
            <wp:effectExtent l="0" t="0" r="0" b="0"/>
            <wp:docPr id="107"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图片 38"/>
                    <pic:cNvPicPr>
                      <a:picLocks noChangeAspect="1"/>
                    </pic:cNvPicPr>
                  </pic:nvPicPr>
                  <pic:blipFill>
                    <a:blip r:embed="rId78"/>
                    <a:stretch>
                      <a:fillRect/>
                    </a:stretch>
                  </pic:blipFill>
                  <pic:spPr>
                    <a:xfrm>
                      <a:off x="0" y="0"/>
                      <a:ext cx="5067300" cy="4495800"/>
                    </a:xfrm>
                    <a:prstGeom prst="rect">
                      <a:avLst/>
                    </a:prstGeom>
                    <a:noFill/>
                    <a:ln>
                      <a:noFill/>
                    </a:ln>
                  </pic:spPr>
                </pic:pic>
              </a:graphicData>
            </a:graphic>
          </wp:inline>
        </w:drawing>
      </w:r>
    </w:p>
    <w:p>
      <w:pPr>
        <w:pStyle w:val="8"/>
        <w:numPr>
          <w:ilvl w:val="0"/>
          <w:numId w:val="10"/>
        </w:numPr>
        <w:spacing w:line="360" w:lineRule="auto"/>
        <w:rPr>
          <w:rFonts w:hint="eastAsia" w:asciiTheme="minorEastAsia" w:hAnsiTheme="minorEastAsia" w:eastAsiaTheme="minorEastAsia" w:cstheme="minorEastAsia"/>
          <w:sz w:val="21"/>
          <w:szCs w:val="21"/>
        </w:rPr>
      </w:pPr>
      <w:bookmarkStart w:id="441" w:name="_Toc23442300"/>
      <w:r>
        <w:rPr>
          <w:rFonts w:hint="eastAsia" w:asciiTheme="minorEastAsia" w:hAnsiTheme="minorEastAsia" w:eastAsiaTheme="minorEastAsia" w:cstheme="minorEastAsia"/>
          <w:sz w:val="21"/>
          <w:szCs w:val="21"/>
        </w:rPr>
        <w:t>工作中最重要的通用能力（多选）</w:t>
      </w:r>
      <w:bookmarkEnd w:id="441"/>
    </w:p>
    <w:p>
      <w:pPr>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数据来源：麦可思-海南外国语职业学院2019届毕业生培养质量评价数据。</w:t>
      </w:r>
    </w:p>
    <w:p>
      <w:pPr>
        <w:pStyle w:val="6"/>
        <w:spacing w:line="240" w:lineRule="auto"/>
        <w:rPr>
          <w:rFonts w:ascii="Calibri" w:hAnsi="Calibri" w:cs="Arial"/>
          <w:b w:val="0"/>
          <w:kern w:val="0"/>
          <w:sz w:val="18"/>
          <w:szCs w:val="18"/>
        </w:rPr>
      </w:pPr>
    </w:p>
    <w:bookmarkEnd w:id="439"/>
    <w:p>
      <w:pPr>
        <w:pStyle w:val="6"/>
        <w:spacing w:line="240" w:lineRule="auto"/>
        <w:rPr>
          <w:rFonts w:ascii="Calibri" w:hAnsi="Calibri" w:cs="Arial"/>
          <w:b w:val="0"/>
          <w:kern w:val="0"/>
          <w:sz w:val="18"/>
          <w:szCs w:val="18"/>
        </w:rPr>
      </w:pPr>
    </w:p>
    <w:p>
      <w:pPr>
        <w:pStyle w:val="5"/>
        <w:numPr>
          <w:ilvl w:val="0"/>
          <w:numId w:val="0"/>
        </w:numPr>
        <w:sectPr>
          <w:footnotePr>
            <w:numRestart w:val="eachSect"/>
          </w:footnotePr>
          <w:pgSz w:w="11906" w:h="16838"/>
          <w:pgMar w:top="1985" w:right="1531" w:bottom="1701" w:left="1701" w:header="964" w:footer="851" w:gutter="0"/>
          <w:pgNumType w:fmt="decimal"/>
          <w:cols w:space="425" w:num="1"/>
          <w:docGrid w:linePitch="312" w:charSpace="0"/>
        </w:sectPr>
      </w:pPr>
    </w:p>
    <w:bookmarkEnd w:id="440"/>
    <w:p>
      <w:pPr>
        <w:pStyle w:val="6"/>
        <w:numPr>
          <w:ilvl w:val="0"/>
          <w:numId w:val="12"/>
        </w:numPr>
        <w:bidi w:val="0"/>
        <w:rPr>
          <w:rFonts w:hint="eastAsia"/>
        </w:rPr>
      </w:pPr>
      <w:bookmarkStart w:id="442" w:name="icb_8029"/>
      <w:bookmarkStart w:id="443" w:name="pb_509"/>
      <w:r>
        <w:rPr>
          <w:rFonts w:hint="eastAsia"/>
        </w:rPr>
        <w:t>母校学习经历对通用能力的影响</w:t>
      </w:r>
    </w:p>
    <w:p>
      <w:pPr>
        <w:pStyle w:val="7"/>
        <w:bidi w:val="0"/>
        <w:rPr>
          <w:rFonts w:hint="eastAsia" w:ascii="Calibri" w:hAnsi="Calibri" w:cs="Arial"/>
          <w:b w:val="0"/>
          <w:szCs w:val="21"/>
          <w:lang w:eastAsia="zh-CN"/>
        </w:rPr>
      </w:pPr>
      <w:r>
        <w:rPr>
          <w:rFonts w:hint="eastAsia" w:ascii="Calibri" w:hAnsi="Calibri" w:cs="Arial"/>
          <w:b w:val="0"/>
          <w:szCs w:val="21"/>
          <w:lang w:eastAsia="zh-CN"/>
        </w:rPr>
        <w:t>本校2019届毕业生受母校学习经历</w:t>
      </w:r>
      <w:r>
        <w:rPr>
          <w:rStyle w:val="17"/>
          <w:rFonts w:hint="eastAsia"/>
          <w:lang w:eastAsia="zh-CN"/>
        </w:rPr>
        <w:t>影响明显比例较高的通用能力是专业知识应用能力（53%）、</w:t>
      </w:r>
      <w:r>
        <w:rPr>
          <w:rFonts w:hint="eastAsia" w:ascii="Calibri" w:hAnsi="Calibri" w:cs="Arial"/>
          <w:b w:val="0"/>
          <w:szCs w:val="21"/>
          <w:lang w:eastAsia="zh-CN"/>
        </w:rPr>
        <w:t>持续学习能力（52%）。</w:t>
      </w:r>
    </w:p>
    <w:p>
      <w:pPr>
        <w:jc w:val="center"/>
        <w:rPr>
          <w:rFonts w:ascii="Calibri" w:hAnsi="Calibri"/>
        </w:rPr>
      </w:pPr>
      <w:r>
        <w:rPr>
          <w:rFonts w:ascii="Calibri" w:hAnsi="Calibri"/>
        </w:rPr>
        <w:drawing>
          <wp:inline distT="0" distB="0" distL="114300" distR="114300">
            <wp:extent cx="5210175" cy="4733925"/>
            <wp:effectExtent l="0" t="0" r="0" b="0"/>
            <wp:docPr id="108"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图片 39"/>
                    <pic:cNvPicPr>
                      <a:picLocks noChangeAspect="1"/>
                    </pic:cNvPicPr>
                  </pic:nvPicPr>
                  <pic:blipFill>
                    <a:blip r:embed="rId79"/>
                    <a:stretch>
                      <a:fillRect/>
                    </a:stretch>
                  </pic:blipFill>
                  <pic:spPr>
                    <a:xfrm>
                      <a:off x="0" y="0"/>
                      <a:ext cx="5210175" cy="4733925"/>
                    </a:xfrm>
                    <a:prstGeom prst="rect">
                      <a:avLst/>
                    </a:prstGeom>
                    <a:noFill/>
                    <a:ln>
                      <a:noFill/>
                    </a:ln>
                  </pic:spPr>
                </pic:pic>
              </a:graphicData>
            </a:graphic>
          </wp:inline>
        </w:drawing>
      </w:r>
    </w:p>
    <w:p>
      <w:pPr>
        <w:pStyle w:val="8"/>
        <w:numPr>
          <w:ilvl w:val="0"/>
          <w:numId w:val="10"/>
        </w:numPr>
        <w:spacing w:line="360" w:lineRule="auto"/>
        <w:rPr>
          <w:rFonts w:hint="eastAsia" w:asciiTheme="minorEastAsia" w:hAnsiTheme="minorEastAsia" w:eastAsiaTheme="minorEastAsia" w:cstheme="minorEastAsia"/>
          <w:sz w:val="21"/>
          <w:szCs w:val="21"/>
        </w:rPr>
      </w:pPr>
      <w:bookmarkStart w:id="444" w:name="_Toc23442301"/>
      <w:r>
        <w:rPr>
          <w:rFonts w:hint="eastAsia" w:asciiTheme="minorEastAsia" w:hAnsiTheme="minorEastAsia" w:eastAsiaTheme="minorEastAsia" w:cstheme="minorEastAsia"/>
          <w:sz w:val="21"/>
          <w:szCs w:val="21"/>
        </w:rPr>
        <w:t>母校学习经历对各项通用能力的影响</w:t>
      </w:r>
      <w:bookmarkEnd w:id="444"/>
    </w:p>
    <w:p>
      <w:pPr>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数据来源：麦可思-海南外国语职业学院2019届毕业生培养质量评价数据。</w:t>
      </w:r>
    </w:p>
    <w:bookmarkEnd w:id="442"/>
    <w:p>
      <w:pPr>
        <w:rPr>
          <w:rFonts w:hint="eastAsia" w:ascii="Calibri" w:hAnsi="Calibri"/>
        </w:rPr>
      </w:pPr>
    </w:p>
    <w:bookmarkEnd w:id="405"/>
    <w:bookmarkEnd w:id="438"/>
    <w:bookmarkEnd w:id="443"/>
    <w:p>
      <w:pPr>
        <w:pStyle w:val="4"/>
        <w:numPr>
          <w:ilvl w:val="2"/>
          <w:numId w:val="0"/>
        </w:numPr>
        <w:bidi w:val="0"/>
      </w:pPr>
    </w:p>
    <w:p/>
    <w:p/>
    <w:p/>
    <w:p/>
    <w:p/>
    <w:p/>
    <w:p/>
    <w:p/>
    <w:p>
      <w:pPr>
        <w:pStyle w:val="2"/>
        <w:numPr>
          <w:ilvl w:val="0"/>
          <w:numId w:val="0"/>
        </w:numPr>
        <w:bidi w:val="0"/>
        <w:ind w:leftChars="0"/>
        <w:jc w:val="center"/>
      </w:pPr>
      <w:bookmarkStart w:id="445" w:name="_Toc532230125"/>
      <w:bookmarkStart w:id="446" w:name="_Toc3999"/>
      <w:bookmarkStart w:id="447" w:name="_Toc9321_WPSOffice_Level1"/>
      <w:bookmarkStart w:id="448" w:name="_Toc20049_WPSOffice_Level1"/>
      <w:bookmarkStart w:id="449" w:name="_Toc7835"/>
      <w:r>
        <w:rPr>
          <w:rFonts w:hint="eastAsia"/>
          <w:lang w:eastAsia="zh-CN"/>
        </w:rPr>
        <w:t>第六章</w:t>
      </w:r>
      <w:r>
        <w:rPr>
          <w:rFonts w:hint="eastAsia"/>
        </w:rPr>
        <w:t xml:space="preserve"> 改进措施</w:t>
      </w:r>
      <w:bookmarkEnd w:id="445"/>
      <w:bookmarkEnd w:id="446"/>
      <w:bookmarkEnd w:id="447"/>
      <w:bookmarkEnd w:id="448"/>
      <w:bookmarkEnd w:id="449"/>
    </w:p>
    <w:p/>
    <w:p>
      <w:pPr>
        <w:pStyle w:val="3"/>
        <w:numPr>
          <w:ilvl w:val="1"/>
          <w:numId w:val="0"/>
        </w:numPr>
        <w:bidi w:val="0"/>
        <w:ind w:left="0" w:leftChars="0" w:firstLine="421" w:firstLineChars="131"/>
        <w:jc w:val="left"/>
        <w:rPr>
          <w:rFonts w:hint="eastAsia"/>
          <w:lang w:val="en-US" w:eastAsia="zh-CN"/>
        </w:rPr>
      </w:pPr>
      <w:r>
        <w:rPr>
          <w:rFonts w:hint="eastAsia"/>
          <w:lang w:val="zh-CN" w:eastAsia="zh-CN"/>
        </w:rPr>
        <w:t>一、积极关注市场发展趋势，主动对接相关领域人才需求</w:t>
      </w:r>
      <w:r>
        <w:rPr>
          <w:rFonts w:hint="eastAsia"/>
          <w:lang w:val="en-US" w:eastAsia="zh-CN"/>
        </w:rPr>
        <w:t xml:space="preserve">, </w:t>
      </w:r>
      <w:r>
        <w:rPr>
          <w:rFonts w:hint="eastAsia"/>
          <w:lang w:val="zh-CN"/>
        </w:rPr>
        <w:t>提升</w:t>
      </w:r>
      <w:r>
        <w:rPr>
          <w:rFonts w:hint="eastAsia"/>
          <w:lang w:val="zh-CN" w:eastAsia="zh-CN"/>
        </w:rPr>
        <w:t>专业对口率就业</w:t>
      </w:r>
    </w:p>
    <w:p>
      <w:pPr>
        <w:pStyle w:val="7"/>
        <w:bidi w:val="0"/>
        <w:rPr>
          <w:rFonts w:hint="eastAsia"/>
        </w:rPr>
      </w:pPr>
      <w:r>
        <w:rPr>
          <w:rFonts w:hint="eastAsia"/>
          <w:lang w:eastAsia="zh-CN"/>
        </w:rPr>
        <w:t>我校</w:t>
      </w:r>
      <w:r>
        <w:rPr>
          <w:rFonts w:hint="eastAsia"/>
          <w:lang w:val="en-US" w:eastAsia="zh-CN"/>
        </w:rPr>
        <w:t>2</w:t>
      </w:r>
      <w:r>
        <w:rPr>
          <w:rFonts w:hint="eastAsia"/>
        </w:rPr>
        <w:t>019届有56%的毕业生从事与专业相关工作，</w:t>
      </w:r>
      <w:r>
        <w:rPr>
          <w:rFonts w:hint="eastAsia"/>
          <w:lang w:eastAsia="zh-CN"/>
        </w:rPr>
        <w:t>其中</w:t>
      </w:r>
      <w:r>
        <w:rPr>
          <w:rFonts w:hint="eastAsia"/>
        </w:rPr>
        <w:t>个别院系</w:t>
      </w:r>
      <w:r>
        <w:rPr>
          <w:rFonts w:hint="eastAsia"/>
          <w:lang w:eastAsia="zh-CN"/>
        </w:rPr>
        <w:t>和专业毕业生</w:t>
      </w:r>
      <w:r>
        <w:rPr>
          <w:rFonts w:hint="eastAsia"/>
        </w:rPr>
        <w:t>的工作与专业相关度</w:t>
      </w:r>
      <w:r>
        <w:rPr>
          <w:rFonts w:hint="eastAsia"/>
          <w:lang w:eastAsia="zh-CN"/>
        </w:rPr>
        <w:t>明显偏低</w:t>
      </w:r>
      <w:r>
        <w:rPr>
          <w:rFonts w:hint="eastAsia"/>
        </w:rPr>
        <w:t>。对此</w:t>
      </w:r>
      <w:r>
        <w:rPr>
          <w:rFonts w:hint="eastAsia"/>
          <w:lang w:eastAsia="zh-CN"/>
        </w:rPr>
        <w:t>，学</w:t>
      </w:r>
      <w:r>
        <w:rPr>
          <w:rFonts w:hint="eastAsia"/>
        </w:rPr>
        <w:t>校将</w:t>
      </w:r>
      <w:r>
        <w:rPr>
          <w:rFonts w:hint="eastAsia"/>
          <w:lang w:eastAsia="zh-CN"/>
        </w:rPr>
        <w:t>积极</w:t>
      </w:r>
      <w:r>
        <w:rPr>
          <w:rFonts w:hint="eastAsia"/>
        </w:rPr>
        <w:t>关注</w:t>
      </w:r>
      <w:r>
        <w:rPr>
          <w:rFonts w:hint="eastAsia"/>
          <w:lang w:eastAsia="zh-CN"/>
        </w:rPr>
        <w:t>就业市场的发展趋势</w:t>
      </w:r>
      <w:r>
        <w:rPr>
          <w:rFonts w:hint="eastAsia"/>
        </w:rPr>
        <w:t>，</w:t>
      </w:r>
      <w:r>
        <w:rPr>
          <w:rFonts w:hint="eastAsia"/>
          <w:lang w:eastAsia="zh-CN"/>
        </w:rPr>
        <w:t>持续跟踪</w:t>
      </w:r>
      <w:r>
        <w:rPr>
          <w:rFonts w:hint="eastAsia"/>
        </w:rPr>
        <w:t>毕业生在</w:t>
      </w:r>
      <w:r>
        <w:rPr>
          <w:rFonts w:hint="eastAsia"/>
          <w:lang w:eastAsia="zh-CN"/>
        </w:rPr>
        <w:t>职场</w:t>
      </w:r>
      <w:r>
        <w:rPr>
          <w:rFonts w:hint="eastAsia"/>
        </w:rPr>
        <w:t>的发展</w:t>
      </w:r>
      <w:r>
        <w:rPr>
          <w:rFonts w:hint="eastAsia"/>
          <w:lang w:eastAsia="zh-CN"/>
        </w:rPr>
        <w:t>情况</w:t>
      </w:r>
      <w:r>
        <w:rPr>
          <w:rFonts w:hint="eastAsia"/>
        </w:rPr>
        <w:t>，并</w:t>
      </w:r>
      <w:r>
        <w:rPr>
          <w:rFonts w:hint="eastAsia"/>
          <w:lang w:eastAsia="zh-CN"/>
        </w:rPr>
        <w:t>主动对接相关领域的人才需求，</w:t>
      </w:r>
      <w:r>
        <w:rPr>
          <w:rFonts w:hint="eastAsia"/>
        </w:rPr>
        <w:t>有针对性地</w:t>
      </w:r>
      <w:r>
        <w:rPr>
          <w:rFonts w:hint="eastAsia"/>
          <w:lang w:eastAsia="zh-CN"/>
        </w:rPr>
        <w:t>调整和完善相关</w:t>
      </w:r>
      <w:r>
        <w:rPr>
          <w:rFonts w:hint="eastAsia"/>
        </w:rPr>
        <w:t>专业</w:t>
      </w:r>
      <w:r>
        <w:rPr>
          <w:rFonts w:hint="eastAsia"/>
          <w:lang w:eastAsia="zh-CN"/>
        </w:rPr>
        <w:t>的</w:t>
      </w:r>
      <w:r>
        <w:rPr>
          <w:rFonts w:hint="eastAsia"/>
        </w:rPr>
        <w:t>人才培养</w:t>
      </w:r>
      <w:r>
        <w:rPr>
          <w:rFonts w:hint="eastAsia"/>
          <w:lang w:eastAsia="zh-CN"/>
        </w:rPr>
        <w:t>环节</w:t>
      </w:r>
      <w:r>
        <w:rPr>
          <w:rFonts w:hint="eastAsia"/>
        </w:rPr>
        <w:t>，从而</w:t>
      </w:r>
      <w:r>
        <w:rPr>
          <w:rFonts w:hint="eastAsia"/>
          <w:lang w:eastAsia="zh-CN"/>
        </w:rPr>
        <w:t>使人才培养</w:t>
      </w:r>
      <w:r>
        <w:rPr>
          <w:rFonts w:hint="eastAsia"/>
        </w:rPr>
        <w:t>更好地</w:t>
      </w:r>
      <w:r>
        <w:rPr>
          <w:rFonts w:hint="eastAsia"/>
          <w:lang w:eastAsia="zh-CN"/>
        </w:rPr>
        <w:t>适应相关领域发展的</w:t>
      </w:r>
      <w:r>
        <w:rPr>
          <w:rFonts w:hint="eastAsia"/>
        </w:rPr>
        <w:t>需</w:t>
      </w:r>
      <w:r>
        <w:rPr>
          <w:rFonts w:hint="eastAsia"/>
          <w:lang w:eastAsia="zh-CN"/>
        </w:rPr>
        <w:t>要</w:t>
      </w:r>
      <w:r>
        <w:rPr>
          <w:rFonts w:hint="eastAsia"/>
        </w:rPr>
        <w:t>。</w:t>
      </w:r>
    </w:p>
    <w:p>
      <w:pPr>
        <w:pStyle w:val="3"/>
        <w:numPr>
          <w:ilvl w:val="1"/>
          <w:numId w:val="0"/>
        </w:numPr>
        <w:bidi w:val="0"/>
        <w:ind w:left="0" w:leftChars="0" w:firstLine="421" w:firstLineChars="131"/>
        <w:jc w:val="left"/>
        <w:rPr>
          <w:rFonts w:hint="eastAsia"/>
          <w:lang w:val="zh-CN" w:eastAsia="zh-CN"/>
        </w:rPr>
      </w:pPr>
      <w:r>
        <w:rPr>
          <w:rFonts w:hint="eastAsia"/>
          <w:lang w:val="zh-CN" w:eastAsia="zh-CN"/>
        </w:rPr>
        <w:t>二、进一步提升创新创业工作开展成效</w:t>
      </w:r>
    </w:p>
    <w:p>
      <w:pPr>
        <w:pStyle w:val="7"/>
        <w:bidi w:val="0"/>
        <w:rPr>
          <w:rFonts w:hint="eastAsia"/>
        </w:rPr>
      </w:pPr>
      <w:r>
        <w:rPr>
          <w:rFonts w:hint="eastAsia"/>
          <w:lang w:val="en-US" w:eastAsia="zh-CN"/>
        </w:rPr>
        <w:t>创新意识和创新能力对于毕业生的长远发展具有重要影响，而在校期间的创新创业教育是培养学生创新意识和创新能力重要途径。从毕业生对创新创业教育的评价来看，本校创业辅导活动、创业教学课程的开展效果仍有提升空间，超过半数（51%）毕业生认为创新创业实践类活动不足，未来创新创业教育的开展仍需进一步优化。对此，学校将寻求通过举办创新创业讲座或比赛、加大对学生创新创业社团活动支持等方式，进一步促进学生创新创业意识、思维和能力的提升，从而为学生创新创业意识的形成和发展奠定良好基础。学院还将</w:t>
      </w:r>
      <w:r>
        <w:rPr>
          <w:rFonts w:hint="eastAsia"/>
        </w:rPr>
        <w:t>借助政府平台，努力把我院学生创业工作打造成市院合作项目，促使项目走进社会，服务当地经济，达到互赢互利的目的，以进一步扩大我院学生创业基地，优化学生创业条件。</w:t>
      </w:r>
    </w:p>
    <w:p>
      <w:pPr>
        <w:rPr>
          <w:rFonts w:ascii="宋体" w:hAnsi="宋体"/>
          <w:sz w:val="24"/>
        </w:rPr>
      </w:pPr>
    </w:p>
    <w:p>
      <w:bookmarkStart w:id="450" w:name="_GoBack"/>
      <w:bookmarkEnd w:id="450"/>
    </w:p>
    <w:sectPr>
      <w:headerReference r:id="rId9"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955980153"/>
                          </w:sdtPr>
                          <w:sdtContent>
                            <w:p>
                              <w:pPr>
                                <w:pStyle w:val="10"/>
                                <w:jc w:val="center"/>
                              </w:pPr>
                              <w:r>
                                <w:fldChar w:fldCharType="begin"/>
                              </w:r>
                              <w:r>
                                <w:instrText xml:space="preserve">PAGE   \* MERGEFORMAT</w:instrText>
                              </w:r>
                              <w:r>
                                <w:fldChar w:fldCharType="separate"/>
                              </w:r>
                              <w:r>
                                <w:rPr>
                                  <w:lang w:val="zh-CN"/>
                                </w:rPr>
                                <w:t>61</w:t>
                              </w:r>
                              <w:r>
                                <w:fldChar w:fldCharType="end"/>
                              </w:r>
                            </w:p>
                          </w:sdtContent>
                        </w:sd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Vs2AVAgAAEwQAAA4AAABkcnMvZTJvRG9jLnhtbK1TTY7TMBTeI3EH&#10;y3uatIiZqm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NTVs2AVAgAAEwQAAA4AAAAAAAAA&#10;AQAgAAAAHwEAAGRycy9lMm9Eb2MueG1sUEsFBgAAAAAGAAYAWQEAAKYFAAAAAA==&#10;">
              <v:fill on="f" focussize="0,0"/>
              <v:stroke on="f" weight="0.5pt"/>
              <v:imagedata o:title=""/>
              <o:lock v:ext="edit" aspectratio="f"/>
              <v:textbox inset="0mm,0mm,0mm,0mm" style="mso-fit-shape-to-text:t;">
                <w:txbxContent>
                  <w:sdt>
                    <w:sdtPr>
                      <w:id w:val="1955980153"/>
                    </w:sdtPr>
                    <w:sdtContent>
                      <w:p>
                        <w:pPr>
                          <w:pStyle w:val="10"/>
                          <w:jc w:val="center"/>
                        </w:pPr>
                        <w:r>
                          <w:fldChar w:fldCharType="begin"/>
                        </w:r>
                        <w:r>
                          <w:instrText xml:space="preserve">PAGE   \* MERGEFORMAT</w:instrText>
                        </w:r>
                        <w:r>
                          <w:fldChar w:fldCharType="separate"/>
                        </w:r>
                        <w:r>
                          <w:rPr>
                            <w:lang w:val="zh-CN"/>
                          </w:rPr>
                          <w:t>61</w:t>
                        </w:r>
                        <w:r>
                          <w:fldChar w:fldCharType="end"/>
                        </w:r>
                      </w:p>
                    </w:sdtContent>
                  </w:sdt>
                  <w:p/>
                </w:txbxContent>
              </v:textbox>
            </v:shape>
          </w:pict>
        </mc:Fallback>
      </mc:AlternateContent>
    </w:r>
  </w:p>
  <w:p>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right"/>
      <w:rPr>
        <w:rFonts w:ascii="Calibri" w:hAnsi="Calibri"/>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jc w:val="right"/>
                          </w:pPr>
                          <w:r>
                            <w:rPr>
                              <w:rFonts w:ascii="Calibri" w:hAnsi="Calibri"/>
                            </w:rPr>
                            <w:fldChar w:fldCharType="begin"/>
                          </w:r>
                          <w:r>
                            <w:rPr>
                              <w:rFonts w:ascii="Calibri" w:hAnsi="Calibri"/>
                            </w:rPr>
                            <w:instrText xml:space="preserve">PAGE   \* MERGEFORMAT</w:instrText>
                          </w:r>
                          <w:r>
                            <w:rPr>
                              <w:rFonts w:ascii="Calibri" w:hAnsi="Calibri"/>
                            </w:rPr>
                            <w:fldChar w:fldCharType="separate"/>
                          </w:r>
                          <w:r>
                            <w:rPr>
                              <w:rFonts w:ascii="Calibri" w:hAnsi="Calibri"/>
                              <w:lang w:val="zh-CN" w:eastAsia="zh-CN"/>
                            </w:rPr>
                            <w:t>51</w:t>
                          </w:r>
                          <w:r>
                            <w:rPr>
                              <w:rFonts w:ascii="Calibri" w:hAnsi="Calibri"/>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10"/>
                      <w:jc w:val="right"/>
                    </w:pPr>
                    <w:r>
                      <w:rPr>
                        <w:rFonts w:ascii="Calibri" w:hAnsi="Calibri"/>
                      </w:rPr>
                      <w:fldChar w:fldCharType="begin"/>
                    </w:r>
                    <w:r>
                      <w:rPr>
                        <w:rFonts w:ascii="Calibri" w:hAnsi="Calibri"/>
                      </w:rPr>
                      <w:instrText xml:space="preserve">PAGE   \* MERGEFORMAT</w:instrText>
                    </w:r>
                    <w:r>
                      <w:rPr>
                        <w:rFonts w:ascii="Calibri" w:hAnsi="Calibri"/>
                      </w:rPr>
                      <w:fldChar w:fldCharType="separate"/>
                    </w:r>
                    <w:r>
                      <w:rPr>
                        <w:rFonts w:ascii="Calibri" w:hAnsi="Calibri"/>
                        <w:lang w:val="zh-CN" w:eastAsia="zh-CN"/>
                      </w:rPr>
                      <w:t>51</w:t>
                    </w:r>
                    <w:r>
                      <w:rPr>
                        <w:rFonts w:ascii="Calibri" w:hAnsi="Calibri"/>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hint="eastAsia" w:ascii="Calibri" w:hAnsi="Calibri" w:cs="Calibri"/>
        <w:lang w:eastAsia="zh-CN"/>
      </w:rPr>
    </w:pPr>
    <w:r>
      <w:rPr>
        <w:rFonts w:ascii="Calibri" w:hAnsi="Calibri" w:cs="Calibri"/>
      </w:rPr>
      <w:fldChar w:fldCharType="begin"/>
    </w:r>
    <w:r>
      <w:rPr>
        <w:rFonts w:ascii="Calibri" w:hAnsi="Calibri" w:cs="Calibri"/>
      </w:rPr>
      <w:instrText xml:space="preserve">PAGE   \* MERGEFORMAT</w:instrText>
    </w:r>
    <w:r>
      <w:rPr>
        <w:rFonts w:ascii="Calibri" w:hAnsi="Calibri" w:cs="Calibri"/>
      </w:rPr>
      <w:fldChar w:fldCharType="separate"/>
    </w:r>
    <w:r>
      <w:rPr>
        <w:rFonts w:ascii="Calibri" w:hAnsi="Calibri" w:cs="Calibri"/>
        <w:lang w:val="zh-CN" w:eastAsia="zh-CN"/>
      </w:rPr>
      <w:t>50</w:t>
    </w:r>
    <w:r>
      <w:rPr>
        <w:rFonts w:ascii="Calibri" w:hAnsi="Calibri" w:cs="Calibri"/>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337"/>
        <w:tab w:val="left" w:pos="7365"/>
        <w:tab w:val="right" w:pos="8674"/>
      </w:tabs>
      <w:autoSpaceDE w:val="0"/>
      <w:autoSpaceDN w:val="0"/>
      <w:adjustRightInd w:val="0"/>
      <w:spacing w:line="240" w:lineRule="exact"/>
      <w:jc w:val="left"/>
      <w:rPr>
        <w:rFonts w:hint="eastAsia" w:ascii="Calibri"/>
        <w:color w:val="2350A0"/>
        <w:szCs w:val="21"/>
      </w:rPr>
    </w:pPr>
    <w:r>
      <w:drawing>
        <wp:anchor distT="0" distB="0" distL="114300" distR="114300" simplePos="0" relativeHeight="251660288" behindDoc="1" locked="0" layoutInCell="1" allowOverlap="1">
          <wp:simplePos x="0" y="0"/>
          <wp:positionH relativeFrom="column">
            <wp:posOffset>-3810</wp:posOffset>
          </wp:positionH>
          <wp:positionV relativeFrom="paragraph">
            <wp:posOffset>-68580</wp:posOffset>
          </wp:positionV>
          <wp:extent cx="5505450" cy="342900"/>
          <wp:effectExtent l="0" t="0" r="0" b="0"/>
          <wp:wrapNone/>
          <wp:docPr id="93" name="图片 1" descr="未命名-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图片 1" descr="未命名-1"/>
                  <pic:cNvPicPr>
                    <a:picLocks noChangeAspect="1"/>
                  </pic:cNvPicPr>
                </pic:nvPicPr>
                <pic:blipFill>
                  <a:blip r:embed="rId1"/>
                  <a:stretch>
                    <a:fillRect/>
                  </a:stretch>
                </pic:blipFill>
                <pic:spPr>
                  <a:xfrm>
                    <a:off x="0" y="0"/>
                    <a:ext cx="5505450" cy="342900"/>
                  </a:xfrm>
                  <a:prstGeom prst="rect">
                    <a:avLst/>
                  </a:prstGeom>
                  <a:noFill/>
                  <a:ln>
                    <a:noFill/>
                  </a:ln>
                </pic:spPr>
              </pic:pic>
            </a:graphicData>
          </a:graphic>
        </wp:anchor>
      </w:drawing>
    </w:r>
    <w:r>
      <w:rPr>
        <w:rFonts w:ascii="宋体" w:cs="宋体"/>
        <w:color w:val="2191C9"/>
        <w:kern w:val="0"/>
        <w:szCs w:val="21"/>
      </w:rPr>
      <w:tab/>
    </w:r>
    <w:r>
      <w:rPr>
        <w:rFonts w:ascii="Calibri" w:hAnsi="Calibri" w:cs="Calibri"/>
        <w:color w:val="2350A0"/>
        <w:kern w:val="0"/>
        <w:szCs w:val="21"/>
      </w:rPr>
      <w:t>海南外国语职业学院2019年度毕业生就业质量年度报告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jc w:val="right"/>
      <w:rPr>
        <w:rFonts w:ascii="Calibri" w:hAnsi="Calibri"/>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DC26D97"/>
    <w:multiLevelType w:val="singleLevel"/>
    <w:tmpl w:val="ADC26D97"/>
    <w:lvl w:ilvl="0" w:tentative="0">
      <w:start w:val="1"/>
      <w:numFmt w:val="decimal"/>
      <w:suff w:val="space"/>
      <w:lvlText w:val="%1."/>
      <w:lvlJc w:val="left"/>
    </w:lvl>
  </w:abstractNum>
  <w:abstractNum w:abstractNumId="1">
    <w:nsid w:val="FB37E198"/>
    <w:multiLevelType w:val="singleLevel"/>
    <w:tmpl w:val="FB37E198"/>
    <w:lvl w:ilvl="0" w:tentative="0">
      <w:start w:val="1"/>
      <w:numFmt w:val="decimal"/>
      <w:suff w:val="space"/>
      <w:lvlText w:val="%1."/>
      <w:lvlJc w:val="left"/>
      <w:pPr>
        <w:tabs>
          <w:tab w:val="left" w:pos="0"/>
        </w:tabs>
      </w:pPr>
      <w:rPr>
        <w:rFonts w:hint="default"/>
      </w:rPr>
    </w:lvl>
  </w:abstractNum>
  <w:abstractNum w:abstractNumId="2">
    <w:nsid w:val="12E645FD"/>
    <w:multiLevelType w:val="multilevel"/>
    <w:tmpl w:val="12E645FD"/>
    <w:lvl w:ilvl="0" w:tentative="0">
      <w:start w:val="1"/>
      <w:numFmt w:val="decimal"/>
      <w:lvlText w:val="%1."/>
      <w:lvlJc w:val="left"/>
      <w:pPr>
        <w:ind w:left="420" w:hanging="420"/>
      </w:pPr>
      <w:rPr>
        <w:rFonts w:hint="default" w:ascii="Calibri" w:hAnsi="Calibri"/>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2B93B743"/>
    <w:multiLevelType w:val="singleLevel"/>
    <w:tmpl w:val="2B93B743"/>
    <w:lvl w:ilvl="0" w:tentative="0">
      <w:start w:val="1"/>
      <w:numFmt w:val="decimal"/>
      <w:suff w:val="space"/>
      <w:lvlText w:val="%1."/>
      <w:lvlJc w:val="left"/>
    </w:lvl>
  </w:abstractNum>
  <w:abstractNum w:abstractNumId="4">
    <w:nsid w:val="2C4F67A4"/>
    <w:multiLevelType w:val="singleLevel"/>
    <w:tmpl w:val="2C4F67A4"/>
    <w:lvl w:ilvl="0" w:tentative="0">
      <w:start w:val="2"/>
      <w:numFmt w:val="decimal"/>
      <w:suff w:val="space"/>
      <w:lvlText w:val="%1."/>
      <w:lvlJc w:val="left"/>
    </w:lvl>
  </w:abstractNum>
  <w:abstractNum w:abstractNumId="5">
    <w:nsid w:val="3127ECBE"/>
    <w:multiLevelType w:val="singleLevel"/>
    <w:tmpl w:val="3127ECBE"/>
    <w:lvl w:ilvl="0" w:tentative="0">
      <w:start w:val="1"/>
      <w:numFmt w:val="decimal"/>
      <w:suff w:val="space"/>
      <w:lvlText w:val="%1."/>
      <w:lvlJc w:val="left"/>
      <w:pPr>
        <w:tabs>
          <w:tab w:val="left" w:pos="0"/>
        </w:tabs>
      </w:pPr>
      <w:rPr>
        <w:rFonts w:hint="default"/>
      </w:rPr>
    </w:lvl>
  </w:abstractNum>
  <w:abstractNum w:abstractNumId="6">
    <w:nsid w:val="369C03F0"/>
    <w:multiLevelType w:val="singleLevel"/>
    <w:tmpl w:val="369C03F0"/>
    <w:lvl w:ilvl="0" w:tentative="0">
      <w:start w:val="1"/>
      <w:numFmt w:val="decimal"/>
      <w:suff w:val="space"/>
      <w:lvlText w:val="%1."/>
      <w:lvlJc w:val="left"/>
      <w:pPr>
        <w:tabs>
          <w:tab w:val="left" w:pos="0"/>
        </w:tabs>
      </w:pPr>
      <w:rPr>
        <w:rFonts w:hint="default"/>
      </w:rPr>
    </w:lvl>
  </w:abstractNum>
  <w:abstractNum w:abstractNumId="7">
    <w:nsid w:val="51DF2F39"/>
    <w:multiLevelType w:val="multilevel"/>
    <w:tmpl w:val="51DF2F39"/>
    <w:lvl w:ilvl="0" w:tentative="0">
      <w:start w:val="1"/>
      <w:numFmt w:val="chineseCountingThousand"/>
      <w:lvlText w:val="（%1）"/>
      <w:lvlJc w:val="left"/>
      <w:pPr>
        <w:tabs>
          <w:tab w:val="left" w:pos="720"/>
        </w:tabs>
        <w:ind w:left="720" w:hanging="720"/>
      </w:pPr>
      <w:rPr>
        <w:rFonts w:hint="default"/>
        <w:b/>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526F2BDD"/>
    <w:multiLevelType w:val="multilevel"/>
    <w:tmpl w:val="526F2BDD"/>
    <w:lvl w:ilvl="0" w:tentative="0">
      <w:start w:val="1"/>
      <w:numFmt w:val="decimal"/>
      <w:lvlText w:val="图 5-%1"/>
      <w:lvlJc w:val="left"/>
      <w:pPr>
        <w:ind w:left="840" w:hanging="420"/>
      </w:pPr>
      <w:rPr>
        <w:rFonts w:hint="default" w:ascii="Calibri" w:hAnsi="Calibri" w:cs="Times New Roman"/>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9">
    <w:nsid w:val="75CF689A"/>
    <w:multiLevelType w:val="multilevel"/>
    <w:tmpl w:val="75CF689A"/>
    <w:lvl w:ilvl="0" w:tentative="0">
      <w:start w:val="1"/>
      <w:numFmt w:val="decimal"/>
      <w:lvlText w:val="表 4-%1"/>
      <w:lvlJc w:val="left"/>
      <w:pPr>
        <w:ind w:left="840" w:hanging="420"/>
      </w:pPr>
      <w:rPr>
        <w:rFonts w:hint="default" w:ascii="Calibri" w:hAnsi="Calibri" w:cs="Times New Roman"/>
        <w:b/>
        <w:sz w:val="18"/>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0">
    <w:nsid w:val="78A34704"/>
    <w:multiLevelType w:val="multilevel"/>
    <w:tmpl w:val="78A34704"/>
    <w:lvl w:ilvl="0" w:tentative="0">
      <w:start w:val="1"/>
      <w:numFmt w:val="chineseCountingThousand"/>
      <w:lvlText w:val="（%1）"/>
      <w:lvlJc w:val="left"/>
      <w:pPr>
        <w:tabs>
          <w:tab w:val="left" w:pos="720"/>
        </w:tabs>
        <w:ind w:left="720" w:hanging="720"/>
      </w:pPr>
      <w:rPr>
        <w:rFonts w:hint="default"/>
        <w:b/>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7C61EC58"/>
    <w:multiLevelType w:val="multilevel"/>
    <w:tmpl w:val="7C61EC58"/>
    <w:lvl w:ilvl="0" w:tentative="0">
      <w:start w:val="1"/>
      <w:numFmt w:val="chineseCounting"/>
      <w:pStyle w:val="2"/>
      <w:suff w:val="nothing"/>
      <w:lvlText w:val="第%1章 "/>
      <w:lvlJc w:val="left"/>
      <w:pPr>
        <w:tabs>
          <w:tab w:val="left" w:pos="0"/>
        </w:tabs>
        <w:ind w:left="0" w:firstLine="0"/>
      </w:pPr>
      <w:rPr>
        <w:rFonts w:hint="eastAsia" w:ascii="宋体" w:hAnsi="宋体" w:eastAsia="宋体" w:cs="宋体"/>
      </w:rPr>
    </w:lvl>
    <w:lvl w:ilvl="1" w:tentative="0">
      <w:start w:val="1"/>
      <w:numFmt w:val="chineseCounting"/>
      <w:pStyle w:val="3"/>
      <w:suff w:val="nothing"/>
      <w:lvlText w:val="%2、"/>
      <w:lvlJc w:val="left"/>
      <w:pPr>
        <w:ind w:left="0" w:firstLine="0"/>
      </w:pPr>
      <w:rPr>
        <w:rFonts w:hint="eastAsia" w:ascii="宋体" w:hAnsi="宋体" w:eastAsia="宋体" w:cs="宋体"/>
      </w:rPr>
    </w:lvl>
    <w:lvl w:ilvl="2" w:tentative="0">
      <w:start w:val="1"/>
      <w:numFmt w:val="chineseCounting"/>
      <w:pStyle w:val="4"/>
      <w:suff w:val="nothing"/>
      <w:lvlText w:val="（%3）"/>
      <w:lvlJc w:val="left"/>
      <w:pPr>
        <w:ind w:left="0" w:firstLine="400"/>
      </w:pPr>
      <w:rPr>
        <w:rFonts w:hint="eastAsia" w:ascii="宋体" w:hAnsi="宋体" w:eastAsia="宋体" w:cs="宋体"/>
      </w:rPr>
    </w:lvl>
    <w:lvl w:ilvl="3" w:tentative="0">
      <w:start w:val="1"/>
      <w:numFmt w:val="decimal"/>
      <w:pStyle w:val="5"/>
      <w:suff w:val="nothing"/>
      <w:lvlText w:val="%4．"/>
      <w:lvlJc w:val="left"/>
      <w:pPr>
        <w:ind w:left="0" w:firstLine="402"/>
      </w:pPr>
      <w:rPr>
        <w:rFonts w:hint="eastAsia" w:ascii="宋体" w:hAnsi="宋体" w:eastAsia="宋体" w:cs="宋体"/>
      </w:rPr>
    </w:lvl>
    <w:lvl w:ilvl="4" w:tentative="0">
      <w:start w:val="1"/>
      <w:numFmt w:val="decimalEnclosedCircleChinese"/>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num w:numId="1">
    <w:abstractNumId w:val="11"/>
  </w:num>
  <w:num w:numId="2">
    <w:abstractNumId w:val="4"/>
  </w:num>
  <w:num w:numId="3">
    <w:abstractNumId w:val="1"/>
  </w:num>
  <w:num w:numId="4">
    <w:abstractNumId w:val="5"/>
  </w:num>
  <w:num w:numId="5">
    <w:abstractNumId w:val="2"/>
    <w:lvlOverride w:ilvl="0">
      <w:startOverride w:val="1"/>
    </w:lvlOverride>
  </w:num>
  <w:num w:numId="6">
    <w:abstractNumId w:val="10"/>
  </w:num>
  <w:num w:numId="7">
    <w:abstractNumId w:val="9"/>
  </w:num>
  <w:num w:numId="8">
    <w:abstractNumId w:val="7"/>
  </w:num>
  <w:num w:numId="9">
    <w:abstractNumId w:val="0"/>
  </w:num>
  <w:num w:numId="10">
    <w:abstractNumId w:val="8"/>
  </w:num>
  <w:num w:numId="11">
    <w:abstractNumId w:val="3"/>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numRestart w:val="eachSect"/>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835FF7"/>
    <w:rsid w:val="2D835F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numPr>
        <w:ilvl w:val="0"/>
        <w:numId w:val="1"/>
      </w:numPr>
      <w:spacing w:line="360" w:lineRule="auto"/>
      <w:jc w:val="center"/>
      <w:outlineLvl w:val="0"/>
    </w:pPr>
    <w:rPr>
      <w:rFonts w:eastAsia="宋体"/>
      <w:b/>
      <w:sz w:val="44"/>
      <w:szCs w:val="44"/>
    </w:rPr>
  </w:style>
  <w:style w:type="paragraph" w:styleId="3">
    <w:name w:val="heading 2"/>
    <w:basedOn w:val="1"/>
    <w:next w:val="4"/>
    <w:qFormat/>
    <w:uiPriority w:val="0"/>
    <w:pPr>
      <w:keepNext/>
      <w:keepLines/>
      <w:numPr>
        <w:ilvl w:val="1"/>
        <w:numId w:val="1"/>
      </w:numPr>
      <w:jc w:val="center"/>
      <w:outlineLvl w:val="1"/>
    </w:pPr>
    <w:rPr>
      <w:rFonts w:ascii="Arial" w:hAnsi="Arial" w:eastAsia="黑体" w:cs="Arial"/>
      <w:b/>
      <w:sz w:val="32"/>
      <w:szCs w:val="32"/>
    </w:rPr>
  </w:style>
  <w:style w:type="paragraph" w:styleId="4">
    <w:name w:val="heading 3"/>
    <w:basedOn w:val="1"/>
    <w:next w:val="1"/>
    <w:qFormat/>
    <w:uiPriority w:val="0"/>
    <w:pPr>
      <w:keepNext/>
      <w:keepLines/>
      <w:numPr>
        <w:ilvl w:val="2"/>
        <w:numId w:val="1"/>
      </w:numPr>
      <w:tabs>
        <w:tab w:val="left" w:pos="0"/>
      </w:tabs>
      <w:spacing w:before="120" w:after="120" w:line="520" w:lineRule="exact"/>
      <w:ind w:firstLine="420" w:firstLineChars="0"/>
      <w:jc w:val="left"/>
      <w:outlineLvl w:val="2"/>
    </w:pPr>
    <w:rPr>
      <w:rFonts w:ascii="Arial" w:hAnsi="Arial" w:eastAsia="楷体" w:cs="Arial"/>
      <w:b/>
      <w:sz w:val="32"/>
      <w:szCs w:val="32"/>
    </w:rPr>
  </w:style>
  <w:style w:type="paragraph" w:styleId="5">
    <w:name w:val="heading 4"/>
    <w:basedOn w:val="6"/>
    <w:next w:val="1"/>
    <w:qFormat/>
    <w:uiPriority w:val="0"/>
    <w:pPr>
      <w:numPr>
        <w:ilvl w:val="3"/>
        <w:numId w:val="1"/>
      </w:numPr>
      <w:tabs>
        <w:tab w:val="left" w:pos="0"/>
      </w:tabs>
      <w:spacing w:after="120"/>
      <w:ind w:left="0" w:firstLine="403" w:firstLineChars="0"/>
      <w:outlineLvl w:val="3"/>
    </w:pPr>
    <w:rPr>
      <w:rFonts w:ascii="Calibri" w:hAnsi="Calibri" w:eastAsia="仿宋" w:cs="Arial"/>
      <w:szCs w:val="21"/>
    </w:rPr>
  </w:style>
  <w:style w:type="paragraph" w:styleId="7">
    <w:name w:val="heading 5"/>
    <w:basedOn w:val="1"/>
    <w:next w:val="1"/>
    <w:link w:val="17"/>
    <w:unhideWhenUsed/>
    <w:qFormat/>
    <w:uiPriority w:val="0"/>
    <w:pPr>
      <w:keepNext/>
      <w:keepLines/>
      <w:numPr>
        <w:ilvl w:val="4"/>
        <w:numId w:val="0"/>
      </w:numPr>
      <w:spacing w:before="120" w:beforeLines="0" w:beforeAutospacing="0" w:after="120" w:afterLines="0" w:afterAutospacing="0" w:line="520" w:lineRule="exact"/>
      <w:ind w:firstLine="883" w:firstLineChars="200"/>
      <w:outlineLvl w:val="4"/>
    </w:pPr>
    <w:rPr>
      <w:rFonts w:eastAsia="仿宋"/>
      <w:sz w:val="32"/>
    </w:rPr>
  </w:style>
  <w:style w:type="character" w:default="1" w:styleId="15">
    <w:name w:val="Default Paragraph Font"/>
    <w:semiHidden/>
    <w:uiPriority w:val="0"/>
  </w:style>
  <w:style w:type="table" w:default="1" w:styleId="14">
    <w:name w:val="Normal Table"/>
    <w:semiHidden/>
    <w:uiPriority w:val="0"/>
    <w:tblPr>
      <w:tblCellMar>
        <w:top w:w="0" w:type="dxa"/>
        <w:left w:w="108" w:type="dxa"/>
        <w:bottom w:w="0" w:type="dxa"/>
        <w:right w:w="108" w:type="dxa"/>
      </w:tblCellMar>
    </w:tblPr>
  </w:style>
  <w:style w:type="paragraph" w:customStyle="1" w:styleId="6">
    <w:name w:val="样式1"/>
    <w:basedOn w:val="1"/>
    <w:link w:val="16"/>
    <w:qFormat/>
    <w:uiPriority w:val="0"/>
    <w:pPr>
      <w:spacing w:before="120" w:after="120" w:line="520" w:lineRule="exact"/>
      <w:ind w:firstLine="420" w:firstLineChars="0"/>
      <w:jc w:val="left"/>
    </w:pPr>
    <w:rPr>
      <w:rFonts w:eastAsia="仿宋"/>
      <w:b/>
      <w:sz w:val="32"/>
    </w:rPr>
  </w:style>
  <w:style w:type="paragraph" w:styleId="8">
    <w:name w:val="caption"/>
    <w:basedOn w:val="1"/>
    <w:next w:val="1"/>
    <w:qFormat/>
    <w:uiPriority w:val="0"/>
    <w:pPr>
      <w:ind w:left="420"/>
      <w:jc w:val="center"/>
    </w:pPr>
    <w:rPr>
      <w:rFonts w:ascii="Calibri" w:hAnsi="Calibri" w:eastAsia="Calibri"/>
      <w:b/>
      <w:sz w:val="18"/>
      <w:szCs w:val="18"/>
    </w:rPr>
  </w:style>
  <w:style w:type="paragraph" w:styleId="9">
    <w:name w:val="toc 3"/>
    <w:basedOn w:val="1"/>
    <w:next w:val="1"/>
    <w:qFormat/>
    <w:uiPriority w:val="0"/>
    <w:pPr>
      <w:ind w:left="840" w:leftChars="400"/>
    </w:pPr>
  </w:style>
  <w:style w:type="paragraph" w:styleId="10">
    <w:name w:val="footer"/>
    <w:basedOn w:val="1"/>
    <w:qFormat/>
    <w:uiPriority w:val="99"/>
    <w:pPr>
      <w:tabs>
        <w:tab w:val="center" w:pos="4153"/>
        <w:tab w:val="right" w:pos="8306"/>
      </w:tabs>
      <w:snapToGrid w:val="0"/>
      <w:jc w:val="left"/>
    </w:pPr>
    <w:rPr>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qFormat/>
    <w:uiPriority w:val="0"/>
  </w:style>
  <w:style w:type="paragraph" w:styleId="13">
    <w:name w:val="toc 2"/>
    <w:basedOn w:val="1"/>
    <w:next w:val="1"/>
    <w:qFormat/>
    <w:uiPriority w:val="0"/>
    <w:pPr>
      <w:ind w:left="420" w:leftChars="200"/>
    </w:pPr>
  </w:style>
  <w:style w:type="character" w:customStyle="1" w:styleId="16">
    <w:name w:val="样式1 Char"/>
    <w:link w:val="6"/>
    <w:qFormat/>
    <w:uiPriority w:val="0"/>
    <w:rPr>
      <w:rFonts w:eastAsia="仿宋"/>
      <w:b/>
      <w:sz w:val="32"/>
    </w:rPr>
  </w:style>
  <w:style w:type="character" w:customStyle="1" w:styleId="17">
    <w:name w:val="标题 5 Char"/>
    <w:link w:val="7"/>
    <w:qFormat/>
    <w:uiPriority w:val="0"/>
    <w:rPr>
      <w:rFonts w:eastAsia="仿宋"/>
      <w:sz w:val="32"/>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2" Type="http://schemas.openxmlformats.org/officeDocument/2006/relationships/fontTable" Target="fontTable.xml"/><Relationship Id="rId81" Type="http://schemas.openxmlformats.org/officeDocument/2006/relationships/numbering" Target="numbering.xml"/><Relationship Id="rId80" Type="http://schemas.openxmlformats.org/officeDocument/2006/relationships/customXml" Target="../customXml/item1.xml"/><Relationship Id="rId8" Type="http://schemas.openxmlformats.org/officeDocument/2006/relationships/footer" Target="footer4.xml"/><Relationship Id="rId79" Type="http://schemas.openxmlformats.org/officeDocument/2006/relationships/image" Target="media/image68.emf"/><Relationship Id="rId78" Type="http://schemas.openxmlformats.org/officeDocument/2006/relationships/image" Target="media/image67.emf"/><Relationship Id="rId77" Type="http://schemas.openxmlformats.org/officeDocument/2006/relationships/image" Target="media/image66.emf"/><Relationship Id="rId76" Type="http://schemas.openxmlformats.org/officeDocument/2006/relationships/image" Target="media/image65.emf"/><Relationship Id="rId75" Type="http://schemas.openxmlformats.org/officeDocument/2006/relationships/image" Target="media/image64.emf"/><Relationship Id="rId74" Type="http://schemas.openxmlformats.org/officeDocument/2006/relationships/image" Target="media/image63.emf"/><Relationship Id="rId73" Type="http://schemas.openxmlformats.org/officeDocument/2006/relationships/image" Target="media/image62.emf"/><Relationship Id="rId72" Type="http://schemas.openxmlformats.org/officeDocument/2006/relationships/image" Target="media/image61.emf"/><Relationship Id="rId71" Type="http://schemas.openxmlformats.org/officeDocument/2006/relationships/image" Target="media/image60.emf"/><Relationship Id="rId70" Type="http://schemas.openxmlformats.org/officeDocument/2006/relationships/image" Target="media/image59.emf"/><Relationship Id="rId7" Type="http://schemas.openxmlformats.org/officeDocument/2006/relationships/footer" Target="footer3.xml"/><Relationship Id="rId69" Type="http://schemas.openxmlformats.org/officeDocument/2006/relationships/image" Target="media/image58.emf"/><Relationship Id="rId68" Type="http://schemas.openxmlformats.org/officeDocument/2006/relationships/image" Target="media/image57.emf"/><Relationship Id="rId67" Type="http://schemas.openxmlformats.org/officeDocument/2006/relationships/image" Target="media/image56.emf"/><Relationship Id="rId66" Type="http://schemas.openxmlformats.org/officeDocument/2006/relationships/image" Target="media/image55.emf"/><Relationship Id="rId65" Type="http://schemas.openxmlformats.org/officeDocument/2006/relationships/image" Target="media/image54.emf"/><Relationship Id="rId64" Type="http://schemas.openxmlformats.org/officeDocument/2006/relationships/image" Target="media/image53.emf"/><Relationship Id="rId63" Type="http://schemas.openxmlformats.org/officeDocument/2006/relationships/image" Target="media/image52.emf"/><Relationship Id="rId62" Type="http://schemas.openxmlformats.org/officeDocument/2006/relationships/image" Target="media/image51.emf"/><Relationship Id="rId61" Type="http://schemas.openxmlformats.org/officeDocument/2006/relationships/image" Target="media/image50.emf"/><Relationship Id="rId60" Type="http://schemas.openxmlformats.org/officeDocument/2006/relationships/image" Target="media/image49.emf"/><Relationship Id="rId6" Type="http://schemas.openxmlformats.org/officeDocument/2006/relationships/header" Target="header2.xml"/><Relationship Id="rId59" Type="http://schemas.openxmlformats.org/officeDocument/2006/relationships/image" Target="media/image48.emf"/><Relationship Id="rId58" Type="http://schemas.openxmlformats.org/officeDocument/2006/relationships/image" Target="media/image47.emf"/><Relationship Id="rId57" Type="http://schemas.openxmlformats.org/officeDocument/2006/relationships/image" Target="media/image46.emf"/><Relationship Id="rId56" Type="http://schemas.openxmlformats.org/officeDocument/2006/relationships/image" Target="media/image45.emf"/><Relationship Id="rId55" Type="http://schemas.openxmlformats.org/officeDocument/2006/relationships/image" Target="media/image44.emf"/><Relationship Id="rId54" Type="http://schemas.openxmlformats.org/officeDocument/2006/relationships/image" Target="media/image43.emf"/><Relationship Id="rId53" Type="http://schemas.openxmlformats.org/officeDocument/2006/relationships/image" Target="media/image42.emf"/><Relationship Id="rId52" Type="http://schemas.openxmlformats.org/officeDocument/2006/relationships/image" Target="media/image41.emf"/><Relationship Id="rId51" Type="http://schemas.openxmlformats.org/officeDocument/2006/relationships/image" Target="media/image40.emf"/><Relationship Id="rId50" Type="http://schemas.openxmlformats.org/officeDocument/2006/relationships/image" Target="media/image39.emf"/><Relationship Id="rId5" Type="http://schemas.openxmlformats.org/officeDocument/2006/relationships/footer" Target="footer2.xml"/><Relationship Id="rId49" Type="http://schemas.openxmlformats.org/officeDocument/2006/relationships/image" Target="media/image38.emf"/><Relationship Id="rId48" Type="http://schemas.openxmlformats.org/officeDocument/2006/relationships/image" Target="media/image37.emf"/><Relationship Id="rId47" Type="http://schemas.openxmlformats.org/officeDocument/2006/relationships/image" Target="media/image36.emf"/><Relationship Id="rId46" Type="http://schemas.openxmlformats.org/officeDocument/2006/relationships/image" Target="media/image35.emf"/><Relationship Id="rId45" Type="http://schemas.openxmlformats.org/officeDocument/2006/relationships/image" Target="media/image34.emf"/><Relationship Id="rId44" Type="http://schemas.openxmlformats.org/officeDocument/2006/relationships/image" Target="media/image33.emf"/><Relationship Id="rId43" Type="http://schemas.openxmlformats.org/officeDocument/2006/relationships/image" Target="media/image32.emf"/><Relationship Id="rId42" Type="http://schemas.openxmlformats.org/officeDocument/2006/relationships/image" Target="media/image31.emf"/><Relationship Id="rId41" Type="http://schemas.openxmlformats.org/officeDocument/2006/relationships/image" Target="media/image30.emf"/><Relationship Id="rId40" Type="http://schemas.openxmlformats.org/officeDocument/2006/relationships/image" Target="media/image29.emf"/><Relationship Id="rId4" Type="http://schemas.openxmlformats.org/officeDocument/2006/relationships/footer" Target="footer1.xml"/><Relationship Id="rId39" Type="http://schemas.openxmlformats.org/officeDocument/2006/relationships/image" Target="media/image28.emf"/><Relationship Id="rId38" Type="http://schemas.openxmlformats.org/officeDocument/2006/relationships/image" Target="media/image27.emf"/><Relationship Id="rId37" Type="http://schemas.openxmlformats.org/officeDocument/2006/relationships/image" Target="media/image26.emf"/><Relationship Id="rId36" Type="http://schemas.openxmlformats.org/officeDocument/2006/relationships/image" Target="media/image25.emf"/><Relationship Id="rId35" Type="http://schemas.openxmlformats.org/officeDocument/2006/relationships/image" Target="media/image24.emf"/><Relationship Id="rId34" Type="http://schemas.openxmlformats.org/officeDocument/2006/relationships/image" Target="media/image23.emf"/><Relationship Id="rId33" Type="http://schemas.openxmlformats.org/officeDocument/2006/relationships/image" Target="media/image22.emf"/><Relationship Id="rId32" Type="http://schemas.openxmlformats.org/officeDocument/2006/relationships/image" Target="media/image21.emf"/><Relationship Id="rId31" Type="http://schemas.openxmlformats.org/officeDocument/2006/relationships/image" Target="media/image20.png"/><Relationship Id="rId30" Type="http://schemas.openxmlformats.org/officeDocument/2006/relationships/image" Target="media/image19.emf"/><Relationship Id="rId3" Type="http://schemas.openxmlformats.org/officeDocument/2006/relationships/header" Target="header1.xml"/><Relationship Id="rId29" Type="http://schemas.openxmlformats.org/officeDocument/2006/relationships/image" Target="media/image18.emf"/><Relationship Id="rId28" Type="http://schemas.openxmlformats.org/officeDocument/2006/relationships/image" Target="media/image17.emf"/><Relationship Id="rId27" Type="http://schemas.openxmlformats.org/officeDocument/2006/relationships/image" Target="media/image16.emf"/><Relationship Id="rId26" Type="http://schemas.openxmlformats.org/officeDocument/2006/relationships/image" Target="media/image15.emf"/><Relationship Id="rId25" Type="http://schemas.openxmlformats.org/officeDocument/2006/relationships/image" Target="media/image14.emf"/><Relationship Id="rId24" Type="http://schemas.openxmlformats.org/officeDocument/2006/relationships/image" Target="media/image13.emf"/><Relationship Id="rId23" Type="http://schemas.openxmlformats.org/officeDocument/2006/relationships/image" Target="media/image12.emf"/><Relationship Id="rId22" Type="http://schemas.openxmlformats.org/officeDocument/2006/relationships/image" Target="media/image11.emf"/><Relationship Id="rId21" Type="http://schemas.openxmlformats.org/officeDocument/2006/relationships/image" Target="media/image10.emf"/><Relationship Id="rId20" Type="http://schemas.openxmlformats.org/officeDocument/2006/relationships/image" Target="media/image9.emf"/><Relationship Id="rId2" Type="http://schemas.openxmlformats.org/officeDocument/2006/relationships/settings" Target="settings.xml"/><Relationship Id="rId19" Type="http://schemas.openxmlformats.org/officeDocument/2006/relationships/image" Target="media/image8.emf"/><Relationship Id="rId18" Type="http://schemas.openxmlformats.org/officeDocument/2006/relationships/image" Target="media/image7.emf"/><Relationship Id="rId17" Type="http://schemas.openxmlformats.org/officeDocument/2006/relationships/image" Target="media/image6.emf"/><Relationship Id="rId16" Type="http://schemas.openxmlformats.org/officeDocument/2006/relationships/image" Target="media/image5.emf"/><Relationship Id="rId15" Type="http://schemas.openxmlformats.org/officeDocument/2006/relationships/image" Target="media/image4.emf"/><Relationship Id="rId14" Type="http://schemas.openxmlformats.org/officeDocument/2006/relationships/image" Target="media/image3.emf"/><Relationship Id="rId13" Type="http://schemas.openxmlformats.org/officeDocument/2006/relationships/chart" Target="charts/chart2.xml"/><Relationship Id="rId12" Type="http://schemas.openxmlformats.org/officeDocument/2006/relationships/chart" Target="charts/chart1.xml"/><Relationship Id="rId11" Type="http://schemas.openxmlformats.org/officeDocument/2006/relationships/image" Target="media/image2.png"/><Relationship Id="rId10" Type="http://schemas.openxmlformats.org/officeDocument/2006/relationships/theme" Target="theme/theme1.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1" i="0" u="none" strike="noStrike" kern="1200" spc="0" baseline="0">
                <a:solidFill>
                  <a:schemeClr val="tx1">
                    <a:lumMod val="65000"/>
                    <a:lumOff val="35000"/>
                  </a:schemeClr>
                </a:solidFill>
                <a:latin typeface="+mn-lt"/>
                <a:ea typeface="+mn-ea"/>
                <a:cs typeface="+mn-cs"/>
              </a:defRPr>
            </a:pPr>
            <a:r>
              <a:rPr lang="zh-CN" altLang="en-US" b="1"/>
              <a:t>毕业生就业率</a:t>
            </a:r>
            <a:endParaRPr lang="zh-CN" altLang="en-US" b="1"/>
          </a:p>
        </c:rich>
      </c:tx>
      <c:layout>
        <c:manualLayout>
          <c:xMode val="edge"/>
          <c:yMode val="edge"/>
          <c:x val="0.397711811997526"/>
          <c:y val="0.0196764320069961"/>
        </c:manualLayout>
      </c:layout>
      <c:overlay val="0"/>
      <c:spPr>
        <a:noFill/>
        <a:ln>
          <a:noFill/>
        </a:ln>
        <a:effectLst/>
      </c:spPr>
    </c:title>
    <c:autoTitleDeleted val="0"/>
    <c:plotArea>
      <c:layout>
        <c:manualLayout>
          <c:layoutTarget val="inner"/>
          <c:xMode val="edge"/>
          <c:yMode val="edge"/>
          <c:x val="0.330931576261301"/>
          <c:y val="0.184989722670208"/>
          <c:w val="0.398322032662584"/>
          <c:h val="0.691064731366411"/>
        </c:manualLayout>
      </c:layout>
      <c:pieChart>
        <c:varyColors val="1"/>
        <c:ser>
          <c:idx val="0"/>
          <c:order val="0"/>
          <c:tx>
            <c:strRef>
              <c:f>Sheet1!$B$1</c:f>
              <c:strCache>
                <c:ptCount val="1"/>
                <c:pt idx="0">
                  <c:v>毕业生就业率</c:v>
                </c:pt>
              </c:strCache>
            </c:strRef>
          </c:tx>
          <c:explosion val="0"/>
          <c:dPt>
            <c:idx val="0"/>
            <c:bubble3D val="0"/>
            <c:spPr>
              <a:solidFill>
                <a:schemeClr val="accent1">
                  <a:lumMod val="75000"/>
                </a:schemeClr>
              </a:solidFill>
              <a:ln w="19050">
                <a:solidFill>
                  <a:schemeClr val="lt1"/>
                </a:solidFill>
              </a:ln>
              <a:effectLst/>
            </c:spPr>
          </c:dPt>
          <c:dPt>
            <c:idx val="1"/>
            <c:bubble3D val="0"/>
            <c:explosion val="19"/>
            <c:spPr>
              <a:solidFill>
                <a:schemeClr val="accent6">
                  <a:lumMod val="75000"/>
                </a:schemeClr>
              </a:solidFill>
              <a:ln w="19050">
                <a:solidFill>
                  <a:schemeClr val="lt1"/>
                </a:solidFill>
              </a:ln>
              <a:effectLst/>
            </c:spPr>
          </c:dPt>
          <c:dLbls>
            <c:dLbl>
              <c:idx val="0"/>
              <c:layout>
                <c:manualLayout>
                  <c:x val="-0.360823951454021"/>
                  <c:y val="-0.734376902274717"/>
                </c:manualLayout>
              </c:layout>
              <c:tx>
                <c:rich>
                  <a:bodyPr rot="0" spcFirstLastPara="1" vertOverflow="ellipsis" vert="horz" wrap="square" lIns="38100" tIns="19050" rIns="38100" bIns="19050" anchor="ctr" anchorCtr="1"/>
                  <a:lstStyle/>
                  <a:p>
                    <a:pPr>
                      <a:defRPr lang="zh-CN" sz="1100" b="0" i="0" u="none" strike="noStrike" kern="1200" baseline="0">
                        <a:solidFill>
                          <a:schemeClr val="tx1">
                            <a:lumMod val="75000"/>
                            <a:lumOff val="25000"/>
                          </a:schemeClr>
                        </a:solidFill>
                        <a:latin typeface="+mn-lt"/>
                        <a:ea typeface="+mn-ea"/>
                        <a:cs typeface="+mn-cs"/>
                      </a:defRPr>
                    </a:pPr>
                    <a:r>
                      <a:rPr lang="zh-CN" altLang="en-US"/>
                      <a:t>就业人数</a:t>
                    </a:r>
                    <a:endParaRPr lang="zh-CN" altLang="en-US"/>
                  </a:p>
                  <a:p>
                    <a:pPr>
                      <a:defRPr lang="zh-CN" sz="1100" b="0" i="0" u="none" strike="noStrike" kern="1200" baseline="0">
                        <a:solidFill>
                          <a:schemeClr val="tx1">
                            <a:lumMod val="75000"/>
                            <a:lumOff val="25000"/>
                          </a:schemeClr>
                        </a:solidFill>
                        <a:latin typeface="+mn-lt"/>
                        <a:ea typeface="+mn-ea"/>
                        <a:cs typeface="+mn-cs"/>
                      </a:defRPr>
                    </a:pPr>
                    <a:r>
                      <a:rPr lang="en-US" altLang="zh-CN"/>
                      <a:t>94.92%</a:t>
                    </a:r>
                    <a:endParaRPr lang="en-US" altLang="zh-CN"/>
                  </a:p>
                </c:rich>
              </c:tx>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1"/>
              <c:layout>
                <c:manualLayout>
                  <c:x val="-0.292117844184536"/>
                  <c:y val="0.580102512584022"/>
                </c:manualLayout>
              </c:layout>
              <c:tx>
                <c:rich>
                  <a:bodyPr rot="0" spcFirstLastPara="1" vertOverflow="ellipsis" vert="horz" wrap="square" lIns="38100" tIns="19050" rIns="38100" bIns="19050" anchor="ctr" anchorCtr="1"/>
                  <a:lstStyle/>
                  <a:p>
                    <a:pPr>
                      <a:defRPr lang="zh-CN" sz="1100" b="0" i="0" u="none" strike="noStrike" kern="1200" baseline="0">
                        <a:solidFill>
                          <a:schemeClr val="tx1">
                            <a:lumMod val="75000"/>
                            <a:lumOff val="25000"/>
                          </a:schemeClr>
                        </a:solidFill>
                        <a:latin typeface="+mn-lt"/>
                        <a:ea typeface="+mn-ea"/>
                        <a:cs typeface="+mn-cs"/>
                      </a:defRPr>
                    </a:pPr>
                    <a:r>
                      <a:rPr lang="zh-CN" altLang="en-US"/>
                      <a:t>待就业人数</a:t>
                    </a:r>
                    <a:endParaRPr lang="zh-CN" altLang="en-US"/>
                  </a:p>
                  <a:p>
                    <a:pPr>
                      <a:defRPr lang="zh-CN" sz="1100" b="0" i="0" u="none" strike="noStrike" kern="1200" baseline="0">
                        <a:solidFill>
                          <a:schemeClr val="tx1">
                            <a:lumMod val="75000"/>
                            <a:lumOff val="25000"/>
                          </a:schemeClr>
                        </a:solidFill>
                        <a:latin typeface="+mn-lt"/>
                        <a:ea typeface="+mn-ea"/>
                        <a:cs typeface="+mn-cs"/>
                      </a:defRPr>
                    </a:pPr>
                    <a:r>
                      <a:rPr lang="en-US" altLang="zh-CN"/>
                      <a:t>5.08%</a:t>
                    </a:r>
                    <a:endParaRPr lang="en-US" altLang="zh-CN"/>
                  </a:p>
                </c:rich>
              </c:tx>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lang="zh-CN" sz="1100" b="0" i="0" u="none" strike="noStrike" kern="1200" baseline="0">
                    <a:solidFill>
                      <a:schemeClr val="tx1">
                        <a:lumMod val="75000"/>
                        <a:lumOff val="25000"/>
                      </a:schemeClr>
                    </a:solidFill>
                    <a:latin typeface="+mn-lt"/>
                    <a:ea typeface="+mn-ea"/>
                    <a:cs typeface="+mn-cs"/>
                  </a:defRPr>
                </a:pPr>
              </a:p>
            </c:txPr>
            <c:dLblPos val="bestFit"/>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Sheet1!$A$2:$A$3</c:f>
              <c:strCache>
                <c:ptCount val="2"/>
                <c:pt idx="0">
                  <c:v>就业人数</c:v>
                </c:pt>
                <c:pt idx="1">
                  <c:v>待就业人数</c:v>
                </c:pt>
              </c:strCache>
            </c:strRef>
          </c:cat>
          <c:val>
            <c:numRef>
              <c:f>Sheet1!$B$2:$B$3</c:f>
              <c:numCache>
                <c:formatCode>0.00%</c:formatCode>
                <c:ptCount val="2"/>
                <c:pt idx="0">
                  <c:v>0.9492</c:v>
                </c:pt>
                <c:pt idx="1">
                  <c:v>0.0508</c:v>
                </c:pt>
              </c:numCache>
            </c:numRef>
          </c:val>
        </c:ser>
        <c:dLbls>
          <c:showLegendKey val="0"/>
          <c:showVal val="0"/>
          <c:showCatName val="1"/>
          <c:showSerName val="0"/>
          <c:showPercent val="1"/>
          <c:showBubbleSize val="0"/>
          <c:showLeaderLines val="1"/>
        </c:dLbls>
        <c:firstSliceAng val="0"/>
      </c:pie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barChart>
        <c:barDir val="col"/>
        <c:grouping val="clustered"/>
        <c:varyColors val="0"/>
        <c:ser>
          <c:idx val="0"/>
          <c:order val="0"/>
          <c:tx>
            <c:strRef>
              <c:f>Sheet1!$B$1</c:f>
              <c:strCache>
                <c:ptCount val="1"/>
                <c:pt idx="0">
                  <c:v>本省生源地</c:v>
                </c:pt>
              </c:strCache>
            </c:strRef>
          </c:tx>
          <c:spPr>
            <a:solidFill>
              <a:schemeClr val="accent1">
                <a:lumMod val="75000"/>
              </a:schemeClr>
            </a:solidFill>
            <a:ln>
              <a:noFill/>
            </a:ln>
            <a:effectLst/>
          </c:spPr>
          <c:invertIfNegative val="0"/>
          <c:dLbls>
            <c:dLbl>
              <c:idx val="0"/>
              <c:layout/>
              <c:tx>
                <c:rich>
                  <a:bodyPr rot="0" spcFirstLastPara="1" vertOverflow="clip" vert="horz" wrap="square" lIns="38100" tIns="19050" rIns="38100" bIns="19050" anchor="ctr" anchorCtr="1"/>
                  <a:lstStyle/>
                  <a:p>
                    <a:pPr>
                      <a:defRPr lang="zh-CN" sz="800" b="0" i="0" u="none" strike="noStrike" kern="1200" baseline="0">
                        <a:solidFill>
                          <a:schemeClr val="tx1">
                            <a:lumMod val="50000"/>
                            <a:lumOff val="50000"/>
                          </a:schemeClr>
                        </a:solidFill>
                        <a:latin typeface="+mn-lt"/>
                        <a:ea typeface="+mn-ea"/>
                        <a:cs typeface="+mn-cs"/>
                      </a:defRPr>
                    </a:pPr>
                    <a:r>
                      <a:rPr lang="en-US" altLang="zh-CN"/>
                      <a:t>94.1%</a:t>
                    </a:r>
                    <a:endParaRPr lang="en-US" altLang="zh-CN"/>
                  </a:p>
                </c:rich>
              </c:tx>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clip" horzOverflow="clip" vert="horz" wrap="square" lIns="38100" tIns="19050" rIns="38100" bIns="19050" anchor="ctr" anchorCtr="1">
                <a:spAutoFit/>
              </a:bodyPr>
              <a:lstStyle/>
              <a:p>
                <a:pPr>
                  <a:defRPr lang="zh-CN" sz="800" b="0" i="0" u="none" strike="noStrike" kern="1200" baseline="0">
                    <a:solidFill>
                      <a:schemeClr val="tx1">
                        <a:lumMod val="50000"/>
                        <a:lumOff val="50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c:f>
              <c:strCache>
                <c:ptCount val="1"/>
                <c:pt idx="0">
                  <c:v>毕业生的就业率</c:v>
                </c:pt>
              </c:strCache>
            </c:strRef>
          </c:cat>
          <c:val>
            <c:numRef>
              <c:f>Sheet1!$B$2</c:f>
              <c:numCache>
                <c:formatCode>0.00%</c:formatCode>
                <c:ptCount val="1"/>
                <c:pt idx="0">
                  <c:v>0.941</c:v>
                </c:pt>
              </c:numCache>
            </c:numRef>
          </c:val>
        </c:ser>
        <c:ser>
          <c:idx val="1"/>
          <c:order val="1"/>
          <c:tx>
            <c:strRef>
              <c:f>Sheet1!$C$1</c:f>
              <c:strCache>
                <c:ptCount val="1"/>
                <c:pt idx="0">
                  <c:v>外省生源地</c:v>
                </c:pt>
              </c:strCache>
            </c:strRef>
          </c:tx>
          <c:spPr>
            <a:solidFill>
              <a:schemeClr val="accent6">
                <a:lumMod val="75000"/>
              </a:schemeClr>
            </a:solidFill>
            <a:ln>
              <a:noFill/>
            </a:ln>
            <a:effectLst/>
          </c:spPr>
          <c:invertIfNegative val="0"/>
          <c:dPt>
            <c:idx val="0"/>
            <c:invertIfNegative val="0"/>
            <c:bubble3D val="0"/>
            <c:spPr>
              <a:solidFill>
                <a:schemeClr val="accent6">
                  <a:lumMod val="75000"/>
                </a:schemeClr>
              </a:solidFill>
              <a:ln>
                <a:noFill/>
              </a:ln>
              <a:effectLst/>
            </c:spPr>
          </c:dPt>
          <c:dLbls>
            <c:dLbl>
              <c:idx val="0"/>
              <c:layout/>
              <c:tx>
                <c:rich>
                  <a:bodyPr rot="0" spcFirstLastPara="1" vertOverflow="clip" vert="horz" wrap="square" lIns="38100" tIns="19050" rIns="38100" bIns="19050" anchor="ctr" anchorCtr="1"/>
                  <a:lstStyle/>
                  <a:p>
                    <a:pPr>
                      <a:defRPr lang="zh-CN" sz="800" b="0" i="0" u="none" strike="noStrike" kern="1200" baseline="0">
                        <a:solidFill>
                          <a:schemeClr val="tx1">
                            <a:lumMod val="50000"/>
                            <a:lumOff val="50000"/>
                          </a:schemeClr>
                        </a:solidFill>
                        <a:latin typeface="+mn-lt"/>
                        <a:ea typeface="+mn-ea"/>
                        <a:cs typeface="+mn-cs"/>
                      </a:defRPr>
                    </a:pPr>
                    <a:r>
                      <a:rPr lang="en-US" altLang="zh-CN"/>
                      <a:t>96.1%</a:t>
                    </a:r>
                    <a:endParaRPr lang="en-US" altLang="zh-CN"/>
                  </a:p>
                </c:rich>
              </c:tx>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clip" horzOverflow="clip" vert="horz" wrap="square" lIns="38100" tIns="19050" rIns="38100" bIns="19050" anchor="ctr" anchorCtr="1">
                <a:spAutoFit/>
              </a:bodyPr>
              <a:lstStyle/>
              <a:p>
                <a:pPr>
                  <a:defRPr lang="zh-CN" sz="800" b="0" i="0" u="none" strike="noStrike" kern="1200" baseline="0">
                    <a:solidFill>
                      <a:schemeClr val="tx1">
                        <a:lumMod val="50000"/>
                        <a:lumOff val="50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c:f>
              <c:strCache>
                <c:ptCount val="1"/>
                <c:pt idx="0">
                  <c:v>毕业生的就业率</c:v>
                </c:pt>
              </c:strCache>
            </c:strRef>
          </c:cat>
          <c:val>
            <c:numRef>
              <c:f>Sheet1!$C$2</c:f>
              <c:numCache>
                <c:formatCode>0.00%</c:formatCode>
                <c:ptCount val="1"/>
                <c:pt idx="0">
                  <c:v>0.9613</c:v>
                </c:pt>
              </c:numCache>
            </c:numRef>
          </c:val>
        </c:ser>
        <c:dLbls>
          <c:showLegendKey val="0"/>
          <c:showVal val="1"/>
          <c:showCatName val="0"/>
          <c:showSerName val="0"/>
          <c:showPercent val="0"/>
          <c:showBubbleSize val="0"/>
        </c:dLbls>
        <c:gapWidth val="444"/>
        <c:overlap val="-90"/>
        <c:axId val="162719232"/>
        <c:axId val="222887936"/>
      </c:barChart>
      <c:catAx>
        <c:axId val="162719232"/>
        <c:scaling>
          <c:orientation val="minMax"/>
        </c:scaling>
        <c:delete val="0"/>
        <c:axPos val="b"/>
        <c:majorGridlines>
          <c:spPr>
            <a:ln w="9525" cap="flat" cmpd="sng" algn="ctr">
              <a:solidFill>
                <a:schemeClr val="tx1">
                  <a:lumMod val="15000"/>
                  <a:lumOff val="85000"/>
                </a:schemeClr>
              </a:solidFill>
              <a:prstDash val="solid"/>
              <a:round/>
            </a:ln>
            <a:effectLst/>
          </c:spPr>
        </c:majorGridlines>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800" b="0" i="0" u="none" strike="noStrike" kern="1200" cap="all" spc="120" normalizeH="0" baseline="0">
                <a:solidFill>
                  <a:schemeClr val="tx1">
                    <a:lumMod val="65000"/>
                    <a:lumOff val="35000"/>
                  </a:schemeClr>
                </a:solidFill>
                <a:latin typeface="+mn-lt"/>
                <a:ea typeface="+mn-ea"/>
                <a:cs typeface="+mn-cs"/>
              </a:defRPr>
            </a:pPr>
          </a:p>
        </c:txPr>
        <c:crossAx val="222887936"/>
        <c:crosses val="autoZero"/>
        <c:auto val="1"/>
        <c:lblAlgn val="ctr"/>
        <c:lblOffset val="100"/>
        <c:noMultiLvlLbl val="0"/>
      </c:catAx>
      <c:valAx>
        <c:axId val="222887936"/>
        <c:scaling>
          <c:orientation val="minMax"/>
          <c:max val="1"/>
          <c:min val="0"/>
        </c:scaling>
        <c:delete val="0"/>
        <c:axPos val="l"/>
        <c:numFmt formatCode="0.00%" sourceLinked="1"/>
        <c:majorTickMark val="out"/>
        <c:minorTickMark val="none"/>
        <c:tickLblPos val="nextTo"/>
        <c:spPr>
          <a:noFill/>
          <a:ln w="9525" cap="flat" cmpd="sng" algn="ctr">
            <a:solidFill>
              <a:schemeClr val="dk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62719232"/>
        <c:crosses val="autoZero"/>
        <c:crossBetween val="between"/>
        <c:majorUnit val="0.1"/>
      </c:valAx>
      <c:spPr>
        <a:noFill/>
        <a:ln>
          <a:noFill/>
        </a:ln>
        <a:effectLst/>
      </c:spPr>
    </c:plotArea>
    <c:legend>
      <c:legendPos val="b"/>
      <c:layout>
        <c:manualLayout>
          <c:xMode val="edge"/>
          <c:yMode val="edge"/>
          <c:x val="0.3544375"/>
          <c:y val="0.869456066945607"/>
        </c:manualLayout>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lt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2020-01-02T00:59:00Z</dcterms:created>
  <dc:creator>Fantastic girl</dc:creator>
  <cp:lastModifiedBy>Fantastic girl</cp:lastModifiedBy>
  <dcterms:modified xsi:type="dcterms:W3CDTF">2020-01-02T01:00:50Z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