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ascii="黑体" w:hAnsi="黑体" w:eastAsia="黑体" w:cs="黑体"/>
          <w:bCs/>
          <w:sz w:val="28"/>
          <w:szCs w:val="28"/>
          <w:lang w:val="en-US" w:eastAsia="zh-CN"/>
        </w:rPr>
      </w:pPr>
      <w:r>
        <w:rPr>
          <w:rFonts w:hint="eastAsia" w:ascii="黑体" w:hAnsi="黑体" w:eastAsia="黑体" w:cs="黑体"/>
          <w:bCs/>
          <w:sz w:val="28"/>
          <w:szCs w:val="28"/>
          <w:lang w:eastAsia="zh-CN"/>
        </w:rPr>
        <w:t>附件</w:t>
      </w:r>
      <w:r>
        <w:rPr>
          <w:rFonts w:hint="eastAsia" w:ascii="黑体" w:hAnsi="黑体" w:eastAsia="黑体" w:cs="黑体"/>
          <w:bCs/>
          <w:sz w:val="28"/>
          <w:szCs w:val="28"/>
          <w:lang w:val="en-US" w:eastAsia="zh-CN"/>
        </w:rPr>
        <w:t>1</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Cs/>
          <w:sz w:val="44"/>
          <w:szCs w:val="44"/>
          <w:lang w:val="en-US" w:eastAsia="zh-CN"/>
        </w:rPr>
      </w:pPr>
      <w:r>
        <w:rPr>
          <w:rFonts w:hint="eastAsia" w:ascii="方正小标宋简体" w:hAnsi="方正小标宋简体" w:eastAsia="方正小标宋简体" w:cs="方正小标宋简体"/>
          <w:bCs/>
          <w:sz w:val="44"/>
          <w:szCs w:val="44"/>
        </w:rPr>
        <w:t>202</w:t>
      </w:r>
      <w:r>
        <w:rPr>
          <w:rFonts w:hint="eastAsia" w:ascii="方正小标宋简体" w:hAnsi="方正小标宋简体" w:eastAsia="方正小标宋简体" w:cs="方正小标宋简体"/>
          <w:bCs/>
          <w:sz w:val="44"/>
          <w:szCs w:val="44"/>
          <w:lang w:val="en-US" w:eastAsia="zh-CN"/>
        </w:rPr>
        <w:t>2</w:t>
      </w:r>
      <w:r>
        <w:rPr>
          <w:rFonts w:hint="eastAsia" w:ascii="方正小标宋简体" w:hAnsi="方正小标宋简体" w:eastAsia="方正小标宋简体" w:cs="方正小标宋简体"/>
          <w:bCs/>
          <w:sz w:val="44"/>
          <w:szCs w:val="44"/>
        </w:rPr>
        <w:t>年度海南省</w:t>
      </w:r>
      <w:r>
        <w:rPr>
          <w:rFonts w:hint="eastAsia" w:ascii="方正小标宋简体" w:hAnsi="方正小标宋简体" w:eastAsia="方正小标宋简体" w:cs="方正小标宋简体"/>
          <w:bCs/>
          <w:sz w:val="44"/>
          <w:szCs w:val="44"/>
          <w:lang w:eastAsia="zh-CN"/>
        </w:rPr>
        <w:t>旅游文化广电体育</w:t>
      </w:r>
      <w:r>
        <w:rPr>
          <w:rFonts w:hint="eastAsia" w:ascii="方正小标宋简体" w:hAnsi="方正小标宋简体" w:eastAsia="方正小标宋简体" w:cs="方正小标宋简体"/>
          <w:bCs/>
          <w:sz w:val="44"/>
          <w:szCs w:val="44"/>
          <w:lang w:val="en-US" w:eastAsia="zh-CN"/>
        </w:rPr>
        <w:t>事业</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val="en-US" w:eastAsia="zh-CN"/>
        </w:rPr>
        <w:t>产业高质量发展</w:t>
      </w:r>
      <w:r>
        <w:rPr>
          <w:rFonts w:hint="eastAsia" w:ascii="方正小标宋简体" w:hAnsi="方正小标宋简体" w:eastAsia="方正小标宋简体" w:cs="方正小标宋简体"/>
          <w:bCs/>
          <w:sz w:val="44"/>
          <w:szCs w:val="44"/>
          <w:lang w:eastAsia="zh-CN"/>
        </w:rPr>
        <w:t>科学</w:t>
      </w:r>
      <w:r>
        <w:rPr>
          <w:rFonts w:hint="eastAsia" w:ascii="方正小标宋简体" w:hAnsi="方正小标宋简体" w:eastAsia="方正小标宋简体" w:cs="方正小标宋简体"/>
          <w:bCs/>
          <w:sz w:val="44"/>
          <w:szCs w:val="44"/>
        </w:rPr>
        <w:t>研究项目指南</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本项目指南为选题的方向，而不是具体的课题名称。申请者应紧密结合国家和海南省经济社会发展的需要，在本指南的指导下，根据</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和个人的实际情况，进行更具体的选择，确定申报课题。</w:t>
      </w:r>
    </w:p>
    <w:p>
      <w:pPr>
        <w:pStyle w:val="2"/>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一、旅游类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.文化强国建设背景下文化和旅游发展规划及政策体系</w:t>
      </w:r>
      <w:r>
        <w:rPr>
          <w:rFonts w:hint="eastAsia" w:ascii="仿宋_GB2312" w:hAnsi="仿宋_GB2312" w:eastAsia="仿宋_GB2312" w:cs="仿宋_GB2312"/>
          <w:sz w:val="32"/>
          <w:szCs w:val="32"/>
          <w:lang w:eastAsia="zh-CN"/>
        </w:rPr>
        <w:t>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.文化强国建设背景下文化和旅游领域改革思路及实践路径研究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3.文化、文物和旅游高质量发展研究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4.文化和旅游融合发展促进共同富裕模式及应用实践研究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5.区域性文化和旅游经济战略研究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6.海南自贸港建设背景下完善与优化文化和旅游法律法规体系研究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.旅游法修订重点问题研究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.旅游业应对疫情恢复发展政策需求及对策研究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海南</w:t>
      </w:r>
      <w:r>
        <w:rPr>
          <w:rFonts w:hint="eastAsia" w:ascii="仿宋_GB2312" w:hAnsi="仿宋_GB2312" w:eastAsia="仿宋_GB2312" w:cs="仿宋_GB2312"/>
          <w:sz w:val="32"/>
          <w:szCs w:val="32"/>
        </w:rPr>
        <w:t>绿色旅游的内涵及实现路径研究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.新冠肺炎疫情常态化防控背景下公共文化服务和旅游公共服务应对策略研究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.文化产业和旅游业新业态发展情况调研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.政府投入紧缩背景下创新文化和旅游投入方式研究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.文化和旅游</w:t>
      </w:r>
      <w:r>
        <w:rPr>
          <w:rFonts w:hint="eastAsia" w:ascii="仿宋_GB2312" w:hAnsi="仿宋_GB2312" w:eastAsia="仿宋_GB2312" w:cs="仿宋_GB2312"/>
          <w:sz w:val="32"/>
          <w:szCs w:val="32"/>
          <w:lang w:eastAsia="zh-CN"/>
        </w:rPr>
        <w:t>行业</w:t>
      </w:r>
      <w:r>
        <w:rPr>
          <w:rFonts w:hint="eastAsia" w:ascii="仿宋_GB2312" w:hAnsi="仿宋_GB2312" w:eastAsia="仿宋_GB2312" w:cs="仿宋_GB2312"/>
          <w:sz w:val="32"/>
          <w:szCs w:val="32"/>
        </w:rPr>
        <w:t>统计能力建设研究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.文化和旅游促进乡村振兴实践经验与对策研究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.推进纾困政策落实与企业创新发展调研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.元宇宙概念的实践探索及其对文化和旅游发展的影响研</w:t>
      </w:r>
      <w:r>
        <w:rPr>
          <w:rFonts w:hint="eastAsia" w:ascii="仿宋_GB2312" w:hAnsi="仿宋_GB2312" w:eastAsia="仿宋_GB2312" w:cs="仿宋_GB2312"/>
          <w:sz w:val="32"/>
          <w:szCs w:val="32"/>
          <w:lang w:eastAsia="zh-CN"/>
        </w:rPr>
        <w:t>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.民族地区公共文化服务和旅游公共服务情况调研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.“非遗+旅游”融合发展研究</w:t>
      </w:r>
    </w:p>
    <w:p>
      <w:pPr>
        <w:pStyle w:val="2"/>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.培育发展夜间文化和旅游消费新业态新模式调研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.国际知名旅游目的地建设研究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.我国避暑避寒度假旅游产业发展现状、趋势与对策研究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.旅游服务品牌培育和评价体系研究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.旅游服务质量监管研究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.旅游民宿产业发展情况调研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.我国海洋旅游产业链升级与重构研究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rPr>
        <w:t>.旅游景区管理体制机制改革调研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.旅游业用地政策改革实践与创新研究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rPr>
        <w:t>.大众旅游时代旅行社创新发展研究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29</w:t>
      </w:r>
      <w:r>
        <w:rPr>
          <w:rFonts w:hint="eastAsia" w:ascii="仿宋_GB2312" w:hAnsi="仿宋_GB2312" w:eastAsia="仿宋_GB2312" w:cs="仿宋_GB2312"/>
          <w:sz w:val="32"/>
          <w:szCs w:val="32"/>
        </w:rPr>
        <w:t>.旅游市场不正当竞争执法对策调研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.文化和旅游领域国际传播能力建设研究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31.国外非政府组织开展国际文化交流和旅游推广情况研究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32.国外文化和旅游国际公共产品情况调研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33.国外现代文化和旅游职业教育培育体系研究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34.地方旅游统计调查工作监督管理研究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35.提升文化和旅游智库的业界引领作用与影响力研究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二、文化艺术类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1.文化强国建设关键指标研究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2.文化强国建设背景下文化和旅游发展规划及政策体系研究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3.文化强国建设背景下文化和旅游领域改革思路及重点任务研究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4.文化、文物和旅游高质量发展研究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5.文化和旅游促进共同富裕模式与经验研究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6.文化经济战略研究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7.适应新时代要求完善文化法律法规体系研究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.新时代我国文化安全新问题新挑战研究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.文艺院团舞台艺术作品知识产权纠纷特点及应对举措研</w:t>
      </w:r>
      <w:r>
        <w:rPr>
          <w:rFonts w:hint="eastAsia" w:ascii="仿宋_GB2312" w:hAnsi="仿宋_GB2312" w:eastAsia="仿宋_GB2312" w:cs="仿宋_GB2312"/>
          <w:sz w:val="32"/>
          <w:szCs w:val="32"/>
          <w:lang w:eastAsia="zh-CN"/>
        </w:rPr>
        <w:t>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.国家文化公园建设路径研究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.具有中国形象、中国风格、中国气派的艺术精品创作经验与实现路径研究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.新冠肺炎疫情常态化防控背景下公共文化服务和旅游公共服务应对策略研究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.文物科技创新研究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.文化产业和旅游业新业态发展情况调研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.文娱领域资本运行情况调研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.过紧日子背景下创新文化和旅游投入方式研究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.文化和旅游统计能力建设研究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.文化和旅游促进乡村振兴实践经验与对策研究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.元宇宙概念的实践探索及其对文化和旅游发展的影响研</w:t>
      </w:r>
      <w:r>
        <w:rPr>
          <w:rFonts w:hint="eastAsia" w:ascii="仿宋_GB2312" w:hAnsi="仿宋_GB2312" w:eastAsia="仿宋_GB2312" w:cs="仿宋_GB2312"/>
          <w:sz w:val="32"/>
          <w:szCs w:val="32"/>
          <w:lang w:eastAsia="zh-CN"/>
        </w:rPr>
        <w:t>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.国有文艺院团建设情况调研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.我国现实题材戏剧演出情况调研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.新时代文艺人才培养研究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.新时代美术馆高质量发展调研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.民营美术馆运营情况调研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.艺术品安全可追溯系统可行性调研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rPr>
        <w:t>.共</w:t>
      </w:r>
      <w:r>
        <w:rPr>
          <w:rFonts w:hint="eastAsia" w:ascii="仿宋_GB2312" w:hAnsi="仿宋_GB2312" w:eastAsia="仿宋_GB2312" w:cs="仿宋_GB2312"/>
          <w:sz w:val="32"/>
          <w:szCs w:val="32"/>
          <w:lang w:eastAsia="zh-CN"/>
        </w:rPr>
        <w:t>融媒体视域下提升广播电视舆情引导</w:t>
      </w:r>
      <w:r>
        <w:rPr>
          <w:rFonts w:hint="eastAsia" w:ascii="仿宋_GB2312" w:hAnsi="仿宋_GB2312" w:eastAsia="仿宋_GB2312" w:cs="仿宋_GB2312"/>
          <w:sz w:val="32"/>
          <w:szCs w:val="32"/>
        </w:rPr>
        <w:t>同富裕背景下公共文化服务现代化评价体系研究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.新型公共文化空间建设研究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rPr>
        <w:t>.边疆民族地区公共文化服务和旅游公共服务情况调研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29</w:t>
      </w:r>
      <w:r>
        <w:rPr>
          <w:rFonts w:hint="eastAsia" w:ascii="仿宋_GB2312" w:hAnsi="仿宋_GB2312" w:eastAsia="仿宋_GB2312" w:cs="仿宋_GB2312"/>
          <w:sz w:val="32"/>
          <w:szCs w:val="32"/>
        </w:rPr>
        <w:t>.智慧图书馆建设与服务研究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.社会力量参与公共文化服务运营管理机制研究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.公共文化单位讲好中国故事的路径和方法研究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.新时代中国博物馆展览体系构建与分析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33</w:t>
      </w:r>
      <w:r>
        <w:rPr>
          <w:rFonts w:hint="eastAsia" w:ascii="仿宋_GB2312" w:hAnsi="仿宋_GB2312" w:eastAsia="仿宋_GB2312" w:cs="仿宋_GB2312"/>
          <w:sz w:val="32"/>
          <w:szCs w:val="32"/>
        </w:rPr>
        <w:t>.博物馆资源融入中小学教育实践课堂调研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34</w:t>
      </w:r>
      <w:r>
        <w:rPr>
          <w:rFonts w:hint="eastAsia" w:ascii="仿宋_GB2312" w:hAnsi="仿宋_GB2312" w:eastAsia="仿宋_GB2312" w:cs="仿宋_GB2312"/>
          <w:sz w:val="32"/>
          <w:szCs w:val="32"/>
        </w:rPr>
        <w:t>.非遗传承人群培育现状、问题及对策研究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35</w:t>
      </w:r>
      <w:r>
        <w:rPr>
          <w:rFonts w:hint="eastAsia" w:ascii="仿宋_GB2312" w:hAnsi="仿宋_GB2312" w:eastAsia="仿宋_GB2312" w:cs="仿宋_GB2312"/>
          <w:sz w:val="32"/>
          <w:szCs w:val="32"/>
        </w:rPr>
        <w:t>.国家级非物质文化遗产代表性传承人记录工作成果的保存与服务调研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36</w:t>
      </w:r>
      <w:r>
        <w:rPr>
          <w:rFonts w:hint="eastAsia" w:ascii="仿宋_GB2312" w:hAnsi="仿宋_GB2312" w:eastAsia="仿宋_GB2312" w:cs="仿宋_GB2312"/>
          <w:sz w:val="32"/>
          <w:szCs w:val="32"/>
        </w:rPr>
        <w:t>.“非遗+旅游”融合发展研究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37</w:t>
      </w:r>
      <w:r>
        <w:rPr>
          <w:rFonts w:hint="eastAsia" w:ascii="仿宋_GB2312" w:hAnsi="仿宋_GB2312" w:eastAsia="仿宋_GB2312" w:cs="仿宋_GB2312"/>
          <w:sz w:val="32"/>
          <w:szCs w:val="32"/>
        </w:rPr>
        <w:t>.推动文化产业区域协同发展研究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38</w:t>
      </w:r>
      <w:r>
        <w:rPr>
          <w:rFonts w:hint="eastAsia" w:ascii="仿宋_GB2312" w:hAnsi="仿宋_GB2312" w:eastAsia="仿宋_GB2312" w:cs="仿宋_GB2312"/>
          <w:sz w:val="32"/>
          <w:szCs w:val="32"/>
        </w:rPr>
        <w:t>.数字文化产业高质量发展研究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39</w:t>
      </w:r>
      <w:r>
        <w:rPr>
          <w:rFonts w:hint="eastAsia" w:ascii="仿宋_GB2312" w:hAnsi="仿宋_GB2312" w:eastAsia="仿宋_GB2312" w:cs="仿宋_GB2312"/>
          <w:sz w:val="32"/>
          <w:szCs w:val="32"/>
        </w:rPr>
        <w:t>.培育发展夜间文化和旅游消费新业态新模式调研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.文创产品开发过程中秉持正确历史观、价值观研究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41</w:t>
      </w:r>
      <w:r>
        <w:rPr>
          <w:rFonts w:hint="eastAsia" w:ascii="仿宋_GB2312" w:hAnsi="仿宋_GB2312" w:eastAsia="仿宋_GB2312" w:cs="仿宋_GB2312"/>
          <w:sz w:val="32"/>
          <w:szCs w:val="32"/>
        </w:rPr>
        <w:t>.网络艺术品市场管理研究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42</w:t>
      </w:r>
      <w:r>
        <w:rPr>
          <w:rFonts w:hint="eastAsia" w:ascii="仿宋_GB2312" w:hAnsi="仿宋_GB2312" w:eastAsia="仿宋_GB2312" w:cs="仿宋_GB2312"/>
          <w:sz w:val="32"/>
          <w:szCs w:val="32"/>
        </w:rPr>
        <w:t>.文化和旅游领域国际传播能力建设研究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43</w:t>
      </w:r>
      <w:r>
        <w:rPr>
          <w:rFonts w:hint="eastAsia" w:ascii="仿宋_GB2312" w:hAnsi="仿宋_GB2312" w:eastAsia="仿宋_GB2312" w:cs="仿宋_GB2312"/>
          <w:sz w:val="32"/>
          <w:szCs w:val="32"/>
        </w:rPr>
        <w:t>.进一步发挥文化和旅游智库作用研究</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44</w:t>
      </w:r>
      <w:r>
        <w:rPr>
          <w:rFonts w:hint="eastAsia" w:ascii="仿宋_GB2312" w:hAnsi="仿宋_GB2312" w:eastAsia="仿宋_GB2312" w:cs="仿宋_GB2312"/>
          <w:sz w:val="32"/>
          <w:szCs w:val="32"/>
        </w:rPr>
        <w:t>.</w:t>
      </w:r>
      <w:r>
        <w:rPr>
          <w:rFonts w:hint="eastAsia" w:ascii="仿宋_GB2312" w:hAnsi="仿宋_GB2312" w:eastAsia="仿宋_GB2312" w:cs="仿宋_GB2312"/>
          <w:b w:val="0"/>
          <w:bCs/>
          <w:color w:val="auto"/>
          <w:sz w:val="32"/>
          <w:szCs w:val="32"/>
          <w:highlight w:val="none"/>
          <w:lang w:val="en-US" w:eastAsia="zh-CN"/>
        </w:rPr>
        <w:t>海南自贸港背景下的</w:t>
      </w:r>
      <w:r>
        <w:rPr>
          <w:rFonts w:hint="eastAsia" w:ascii="仿宋_GB2312" w:hAnsi="仿宋_GB2312" w:eastAsia="仿宋_GB2312" w:cs="仿宋_GB2312"/>
          <w:color w:val="auto"/>
          <w:sz w:val="32"/>
          <w:szCs w:val="32"/>
          <w:highlight w:val="none"/>
          <w:lang w:val="en-US" w:eastAsia="zh-CN"/>
        </w:rPr>
        <w:t>数字创意产业发展研究</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45</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sz w:val="32"/>
          <w:szCs w:val="32"/>
          <w:highlight w:val="none"/>
          <w:lang w:val="en-US" w:eastAsia="zh-CN"/>
        </w:rPr>
        <w:t>琼剧发展研究</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46</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sz w:val="32"/>
          <w:szCs w:val="32"/>
          <w:highlight w:val="none"/>
          <w:lang w:val="en-US" w:eastAsia="zh-CN"/>
        </w:rPr>
        <w:t>自由贸易港建设背景下艺术产品的产权交易研究</w:t>
      </w:r>
    </w:p>
    <w:p>
      <w:pPr>
        <w:keepNext w:val="0"/>
        <w:keepLines w:val="0"/>
        <w:pageBreakBefore w:val="0"/>
        <w:widowControl/>
        <w:kinsoku/>
        <w:wordWrap/>
        <w:overflowPunct/>
        <w:topLinePunct w:val="0"/>
        <w:autoSpaceDE/>
        <w:autoSpaceDN/>
        <w:bidi w:val="0"/>
        <w:adjustRightInd/>
        <w:snapToGrid/>
        <w:spacing w:line="560" w:lineRule="exact"/>
        <w:ind w:left="638" w:leftChars="304" w:firstLine="0" w:firstLineChars="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47.</w:t>
      </w:r>
      <w:r>
        <w:rPr>
          <w:rFonts w:hint="eastAsia" w:ascii="仿宋_GB2312" w:hAnsi="仿宋_GB2312" w:eastAsia="仿宋_GB2312" w:cs="仿宋_GB2312"/>
          <w:b w:val="0"/>
          <w:bCs/>
          <w:color w:val="auto"/>
          <w:sz w:val="32"/>
          <w:szCs w:val="32"/>
          <w:highlight w:val="none"/>
          <w:lang w:val="en-US" w:eastAsia="zh-CN"/>
        </w:rPr>
        <w:t>海南自贸港背景下的</w:t>
      </w:r>
      <w:r>
        <w:rPr>
          <w:rFonts w:hint="eastAsia" w:ascii="仿宋_GB2312" w:hAnsi="仿宋_GB2312" w:eastAsia="仿宋_GB2312" w:cs="仿宋_GB2312"/>
          <w:b w:val="0"/>
          <w:bCs w:val="0"/>
          <w:color w:val="auto"/>
          <w:sz w:val="32"/>
          <w:szCs w:val="32"/>
          <w:highlight w:val="none"/>
          <w:lang w:val="en-US" w:eastAsia="zh-CN"/>
        </w:rPr>
        <w:t>国际设计岛研究</w:t>
      </w:r>
    </w:p>
    <w:p>
      <w:pPr>
        <w:keepNext w:val="0"/>
        <w:keepLines w:val="0"/>
        <w:pageBreakBefore w:val="0"/>
        <w:widowControl/>
        <w:kinsoku/>
        <w:wordWrap/>
        <w:overflowPunct/>
        <w:topLinePunct w:val="0"/>
        <w:autoSpaceDE/>
        <w:autoSpaceDN/>
        <w:bidi w:val="0"/>
        <w:adjustRightInd/>
        <w:snapToGrid/>
        <w:spacing w:line="560" w:lineRule="exact"/>
        <w:ind w:left="638" w:leftChars="304" w:firstLine="0" w:firstLineChars="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48.</w:t>
      </w:r>
      <w:r>
        <w:rPr>
          <w:rFonts w:hint="eastAsia" w:ascii="仿宋_GB2312" w:hAnsi="仿宋_GB2312" w:eastAsia="仿宋_GB2312" w:cs="仿宋_GB2312"/>
          <w:color w:val="auto"/>
          <w:sz w:val="32"/>
          <w:szCs w:val="32"/>
          <w:highlight w:val="none"/>
          <w:lang w:val="en-US" w:eastAsia="zh-CN"/>
        </w:rPr>
        <w:t>人类命运共同体构建中海南与国内外艺术交流研究</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contextualSpacing/>
        <w:jc w:val="both"/>
        <w:textAlignment w:val="auto"/>
        <w:outlineLvl w:val="0"/>
        <w:rPr>
          <w:rFonts w:hint="eastAsia" w:ascii="仿宋_GB2312" w:hAnsi="仿宋_GB2312" w:eastAsia="仿宋_GB2312" w:cs="仿宋_GB2312"/>
          <w:b w:val="0"/>
          <w:bCs/>
          <w:color w:val="auto"/>
          <w:sz w:val="32"/>
          <w:szCs w:val="32"/>
          <w:highlight w:val="none"/>
          <w:lang w:val="en-US" w:eastAsia="zh-CN"/>
        </w:rPr>
      </w:pPr>
      <w:r>
        <w:rPr>
          <w:rFonts w:hint="eastAsia" w:ascii="仿宋_GB2312" w:hAnsi="仿宋_GB2312" w:eastAsia="仿宋_GB2312" w:cs="仿宋_GB2312"/>
          <w:b w:val="0"/>
          <w:bCs/>
          <w:color w:val="auto"/>
          <w:sz w:val="32"/>
          <w:szCs w:val="32"/>
          <w:highlight w:val="none"/>
          <w:lang w:val="en-US" w:eastAsia="zh-CN"/>
        </w:rPr>
        <w:t>49.海南自贸港背景下的国际文物艺术品交易中心研究</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rPr>
        <w:t>黎锦</w:t>
      </w:r>
      <w:r>
        <w:rPr>
          <w:rFonts w:hint="eastAsia" w:ascii="仿宋_GB2312" w:hAnsi="仿宋_GB2312" w:eastAsia="仿宋_GB2312" w:cs="仿宋_GB2312"/>
          <w:color w:val="auto"/>
          <w:sz w:val="32"/>
          <w:szCs w:val="32"/>
          <w:highlight w:val="none"/>
          <w:lang w:eastAsia="zh-CN"/>
        </w:rPr>
        <w:t>历史、现状与发展</w:t>
      </w:r>
      <w:r>
        <w:rPr>
          <w:rFonts w:hint="eastAsia" w:ascii="仿宋_GB2312" w:hAnsi="仿宋_GB2312" w:eastAsia="仿宋_GB2312" w:cs="仿宋_GB2312"/>
          <w:color w:val="auto"/>
          <w:sz w:val="32"/>
          <w:szCs w:val="32"/>
          <w:highlight w:val="none"/>
        </w:rPr>
        <w:t>研究</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51.海南艺术（影视、音乐、美术等）产业发展研究</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52.数智时代图书馆数据治理研究</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53.数智驱动的图书馆服务模式创新研究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54.面向智慧图书馆的儿童分级阅读智能荐书研究</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55.教育“双减”政策下公共图书馆少儿服务转型研究</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56.突发公共卫生事件中的公众信息行为研究</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57.数字医疗时代老年人健康信息行为研究</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58.智能时代数据素养理论框架与实践形态研究</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59.城乡一体化与城乡公共空间发展研究</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60.多民族村落在乡村振兴中的文化互嵌调查研究</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61.历史上各民族文化习俗交互影响史证研究</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62.各民族民间传说（信仰）相互借鉴吸收史证研究</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63.博物馆馆藏文物研究</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64.民间信仰与民俗传统关系研究</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65.非物质文化遗产保护与中国民间文艺存续力研究</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三、广播电视类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1.广播电视网络管理和信息安全研究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2.人工智能下的广播电视内容监测系统研究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3.广播电视宣传中5G技术的应用研究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4.新时代提升广播电视舆论传播力、引导力、影响力、公信力研究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广播电视节目创新能力建设研究（电视剧、纪录片、动画片、综艺节目、网络视听节目等）</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融媒体视域下提升广播电视舆情引导能力研究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7.广电 5G 建设与有线网络智能化发展研究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8.广播电视公益广告扶持项目效果评估研究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9.智慧广电媒体建设研究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10.中国电视类型节目形态及创新研究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11.新时代做优做强广播电视主流媒体途径与策略研究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12.广告治理和监管法规政策研究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13.广播电视应对公共突发事件快速反应和报道机制研究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14.新时期中国电视剧/网络剧国际传播能力建设研究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15.“红色影视”的融合传播创新与青少年价值观培育研究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16.地方广电智慧平台建设路径研究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17.广播电视基本公共服务标准化问题研究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18.提升广播电视舆论监督水准研究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19.应急广播应用研究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20.广播电视公共服务智慧化应用实践研究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21.融媒体时代公益广告的传播策略研究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22.广播电视和网络视听行业党建研究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23.广播电视和网络视听国际传播能力建设研究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24.广播电视区域产业协作体构建研究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25.广播电视人力资源管理创新研究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26.电视剧和大型综艺节目植入广告管理研究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27.新时代推进广电网络优化升级、实现高质量发展战略与实践研究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28.广播电视和网络视听行业人才队伍建设研究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29.舆情生态视域下的视频自媒体治理研究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30.少儿节目内容供给和质量提升研究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31.农村广播电视服务体系建设研究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32.广播电视内容产品和技术服务走出去战略研究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33.新媒体科技与新艺术形态研究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34.构建对外传播的新范式和新体系研究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35.新时代红色文化价值传播研究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36.中国老年群体与智能媒体研究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37.网络文化圈群对互联网舆论的影响研究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38.大数据疫情防控时代的隐私焦虑与媒体报道边界研究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39.智能新闻的发展现状、趋势及应对研究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40.数字时代新闻价值体系构建研究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41.新冠肺炎疫情中“信息疫情”的形成机理与应对策略研究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42.民族地区各级党媒对外宣传策略与机制研究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43.直播带货与农村精准扶贫效果研究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44.数字媒介与乡村振兴研究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45.乡村社会治理视域下县级融媒体中心建设研究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46.新媒体纪录片的内涵和外延的边界研究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四、体育类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1.增强青少年体质关键技术研究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2.全民健身关键技术研究与信息系统开发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3.体育教学如何与文化、思想、</w:t>
      </w:r>
      <w:bookmarkStart w:id="0" w:name="_GoBack"/>
      <w:bookmarkEnd w:id="0"/>
      <w:r>
        <w:rPr>
          <w:rFonts w:hint="eastAsia" w:ascii="仿宋_GB2312" w:hAnsi="仿宋_GB2312" w:eastAsia="仿宋_GB2312" w:cs="仿宋_GB2312"/>
          <w:sz w:val="32"/>
          <w:szCs w:val="32"/>
          <w:lang w:val="en-US" w:eastAsia="zh-CN"/>
        </w:rPr>
        <w:t>美育教育相结合研究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4.“校园足球”的中期审视和未来发展研究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5.“政府、高校、企业”协同共建科学健身示范区理论与实践研究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6.现代社会体育与媒体关系研究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7.新时代体育公共服务体系建构研究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b w:val="0"/>
          <w:bCs w:val="0"/>
          <w:color w:val="auto"/>
          <w:sz w:val="32"/>
          <w:szCs w:val="32"/>
          <w:highlight w:val="none"/>
          <w:lang w:val="en-US" w:eastAsia="zh-CN"/>
        </w:rPr>
        <w:t>海南自贸港背景下发展大型国际赛事研究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9.提升我省优秀运动员营养素养水平的研究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color w:val="auto"/>
          <w:sz w:val="32"/>
          <w:szCs w:val="32"/>
          <w:highlight w:val="none"/>
          <w:lang w:val="en-US" w:eastAsia="zh-CN"/>
        </w:rPr>
        <w:t>海南省民族传统体育项目发展研究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color w:val="auto"/>
          <w:sz w:val="32"/>
          <w:szCs w:val="32"/>
          <w:highlight w:val="none"/>
          <w:lang w:eastAsia="zh-CN"/>
        </w:rPr>
        <w:t>海南</w:t>
      </w:r>
      <w:r>
        <w:rPr>
          <w:rFonts w:hint="eastAsia" w:ascii="仿宋_GB2312" w:hAnsi="仿宋_GB2312" w:eastAsia="仿宋_GB2312" w:cs="仿宋_GB2312"/>
          <w:color w:val="auto"/>
          <w:sz w:val="32"/>
          <w:szCs w:val="32"/>
          <w:highlight w:val="none"/>
        </w:rPr>
        <w:t>全民健身公共服务体系高质量</w:t>
      </w:r>
      <w:r>
        <w:rPr>
          <w:rFonts w:hint="eastAsia" w:ascii="仿宋_GB2312" w:hAnsi="仿宋_GB2312" w:eastAsia="仿宋_GB2312" w:cs="仿宋_GB2312"/>
          <w:color w:val="auto"/>
          <w:sz w:val="32"/>
          <w:szCs w:val="32"/>
          <w:highlight w:val="none"/>
          <w:lang w:eastAsia="zh-CN"/>
        </w:rPr>
        <w:t>发展</w:t>
      </w:r>
      <w:r>
        <w:rPr>
          <w:rFonts w:hint="eastAsia" w:ascii="仿宋_GB2312" w:hAnsi="仿宋_GB2312" w:eastAsia="仿宋_GB2312" w:cs="仿宋_GB2312"/>
          <w:color w:val="auto"/>
          <w:sz w:val="32"/>
          <w:szCs w:val="32"/>
          <w:highlight w:val="none"/>
        </w:rPr>
        <w:t>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12.身体锻炼的短期情绪效益、动机及坚持性整合研究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13.大型体育赛事与城市影响力的关联度研究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_GB2312" w:eastAsia="仿宋_GB2312" w:cs="仿宋_GB2312"/>
          <w:sz w:val="32"/>
          <w:szCs w:val="32"/>
          <w:lang w:val="en-US" w:eastAsia="zh-CN"/>
        </w:rPr>
        <w:t>14.体育赛事综合治理研究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15.如何构建便民利民的公共体育场地设施体系研究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16.新时代我省乡村中小学体育教师发展研究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17.体育学的理论体系和研究方法研究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18.体育教育与心理发展研究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19.体育锻炼改善年人认知功能的脑机制研究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20.社会、学校、家庭对青少年体育的影响研究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21.校园足球深入推进与存在问题研究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22.户外运动资源的开发与利用研究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23.学生个体差异与体育课的自主教学研究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24.新时代我省运动项目协会改革研究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25.我省不同年龄段人群体质状况调查研究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26.海南自贸港背景下体育旅游协同发展研究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27.体育市场的规范与监管研究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28.竞技体育在全民健身运动中的引领作用研究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29.青少年运动员竞技训练的风险应对研究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30.体育在素质教育中的地位和作用研究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31.体育教育对学生体育能力培养作用与贡献研</w:t>
      </w:r>
      <w:r>
        <w:rPr>
          <w:rFonts w:hint="eastAsia" w:ascii="仿宋_GB2312" w:hAnsi="仿宋_GB2312" w:eastAsia="仿宋_GB2312" w:cs="仿宋_GB2312"/>
          <w:sz w:val="32"/>
          <w:szCs w:val="32"/>
        </w:rPr>
        <w:t>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32.室内体育课的组织与教学研究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33.我省学生体质与健康状况及对策研究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34.海南群众体育高质量发展研究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35.体育赛事、培训机构资格准入与经营范围相关问题研究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36.体育与统筹推进“五位一体”总体布局协同发展研究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37.不同社会群体的体育观念与行为研究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38.老龄化社会的体育问题研究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39.疫情常态化背景下的健康生活方式研究</w:t>
      </w:r>
    </w:p>
    <w:p>
      <w:pPr>
        <w:widowControl w:val="0"/>
        <w:numPr>
          <w:ilvl w:val="0"/>
          <w:numId w:val="0"/>
        </w:numPr>
        <w:jc w:val="both"/>
        <w:rPr>
          <w:rFonts w:hint="eastAsia" w:ascii="仿宋_GB2312" w:hAnsi="仿宋_GB2312" w:eastAsia="仿宋_GB2312" w:cs="仿宋_GB2312"/>
          <w:sz w:val="32"/>
          <w:szCs w:val="32"/>
          <w:lang w:val="en-US" w:eastAsia="zh-CN"/>
        </w:rPr>
      </w:pPr>
    </w:p>
    <w:p>
      <w:pPr>
        <w:numPr>
          <w:ilvl w:val="0"/>
          <w:numId w:val="0"/>
        </w:num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sectPr>
      <w:pgSz w:w="11906" w:h="16838"/>
      <w:pgMar w:top="1814" w:right="1417" w:bottom="1440" w:left="1474" w:header="851" w:footer="1446" w:gutter="0"/>
      <w:cols w:space="720" w:num="1"/>
      <w:rtlGutter w:val="0"/>
      <w:docGrid w:type="lines" w:linePitch="32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黑体简体">
    <w:panose1 w:val="02010601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A0000287" w:usb1="28C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1F4AA1"/>
    <w:rsid w:val="021F4AA1"/>
    <w:rsid w:val="1FAFB933"/>
    <w:rsid w:val="34FBA484"/>
    <w:rsid w:val="5EF7B63E"/>
    <w:rsid w:val="68DFC252"/>
    <w:rsid w:val="6F51709D"/>
    <w:rsid w:val="765FF445"/>
    <w:rsid w:val="797F12EF"/>
    <w:rsid w:val="7F77EA90"/>
    <w:rsid w:val="7FE93A70"/>
    <w:rsid w:val="BDD7CA4A"/>
    <w:rsid w:val="D7BEA392"/>
    <w:rsid w:val="DF2DB1EE"/>
    <w:rsid w:val="DFBFA1A7"/>
    <w:rsid w:val="FBFE9548"/>
    <w:rsid w:val="FCFF0B08"/>
    <w:rsid w:val="FFEB13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0"/>
    <w:rPr>
      <w:rFonts w:cs="Calibri"/>
      <w:kern w:val="0"/>
      <w:sz w:val="20"/>
      <w:szCs w:val="21"/>
    </w:rPr>
  </w:style>
  <w:style w:type="paragraph" w:styleId="3">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2021-11-07T10:05:00Z</dcterms:created>
  <dc:creator>茶包喵</dc:creator>
  <cp:lastModifiedBy>user</cp:lastModifiedBy>
  <dcterms:modified xsi:type="dcterms:W3CDTF">2022-03-25T10:56:14Z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B2A0DF838DE040A1AB7C666B68CFC957</vt:lpwstr>
  </property>
</Properties>
</file>